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5EF8" w:rsidRDefault="00C66404">
      <w:pPr>
        <w:jc w:val="center"/>
        <w:rPr>
          <w:b/>
        </w:rPr>
      </w:pPr>
      <w:bookmarkStart w:id="0" w:name="_heading=h.gjdgxs" w:colFirst="0" w:colLast="0"/>
      <w:bookmarkEnd w:id="0"/>
      <w:r>
        <w:rPr>
          <w:b/>
        </w:rPr>
        <w:t>APÉNDICE D.</w:t>
      </w:r>
    </w:p>
    <w:p w:rsidR="002B5EF8" w:rsidRDefault="00C66404">
      <w:pPr>
        <w:jc w:val="center"/>
        <w:rPr>
          <w:b/>
        </w:rPr>
      </w:pPr>
      <w:r>
        <w:rPr>
          <w:b/>
        </w:rPr>
        <w:t xml:space="preserve">Artículo Científico  </w:t>
      </w:r>
    </w:p>
    <w:p w:rsidR="002B5EF8" w:rsidRDefault="00C66404">
      <w:pPr>
        <w:pStyle w:val="Ttulo1"/>
      </w:pPr>
      <w:r>
        <w:t>ESTADO DEL ARTE DE LOS EFECTOS ADVERSOS SOBRE LA SALUD DE LOS AGRICULTORES POR EXPOSICIÓN OCUPACIONAL AL GLIFOSATO PARA LA ERRADICACIÓN DE ARVENCES EN CULTIVOS ALIMENTARIOS.</w:t>
      </w:r>
    </w:p>
    <w:p w:rsidR="002B5EF8" w:rsidRDefault="00C664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b/>
        </w:rPr>
      </w:pPr>
      <w:r>
        <w:rPr>
          <w:b/>
        </w:rPr>
        <w:t>State of The Art of Adverse Health Effects on Farm Workers from Occupational Exposure to Glyphosate for Eradication of Weeds in Food Crops.</w:t>
      </w:r>
    </w:p>
    <w:p w:rsidR="002B5EF8" w:rsidRDefault="002B5E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b/>
          <w:color w:val="212121"/>
        </w:rPr>
      </w:pPr>
    </w:p>
    <w:p w:rsidR="002B5EF8" w:rsidRDefault="00C66404">
      <w:pPr>
        <w:pBdr>
          <w:top w:val="nil"/>
          <w:left w:val="nil"/>
          <w:bottom w:val="nil"/>
          <w:right w:val="nil"/>
          <w:between w:val="nil"/>
        </w:pBdr>
        <w:spacing w:before="0" w:after="0"/>
        <w:rPr>
          <w:b/>
          <w:color w:val="000000"/>
          <w:szCs w:val="24"/>
        </w:rPr>
      </w:pPr>
      <w:r>
        <w:rPr>
          <w:color w:val="000000"/>
          <w:szCs w:val="24"/>
        </w:rPr>
        <w:t>Autor</w:t>
      </w:r>
      <w:r>
        <w:rPr>
          <w:color w:val="000000"/>
          <w:szCs w:val="24"/>
          <w:vertAlign w:val="superscript"/>
        </w:rPr>
        <w:footnoteReference w:id="1"/>
      </w:r>
      <w:r>
        <w:rPr>
          <w:color w:val="000000"/>
          <w:szCs w:val="24"/>
        </w:rPr>
        <w:t xml:space="preserve"> </w:t>
      </w:r>
      <w:r>
        <w:rPr>
          <w:b/>
          <w:color w:val="000000"/>
          <w:szCs w:val="24"/>
        </w:rPr>
        <w:t>VARGAS-MUÑOZ</w:t>
      </w:r>
      <w:r>
        <w:rPr>
          <w:color w:val="000000"/>
          <w:szCs w:val="24"/>
        </w:rPr>
        <w:t xml:space="preserve">, </w:t>
      </w:r>
      <w:r>
        <w:rPr>
          <w:b/>
          <w:color w:val="000000"/>
          <w:szCs w:val="24"/>
        </w:rPr>
        <w:t>Jeniffer Z.</w:t>
      </w:r>
    </w:p>
    <w:p w:rsidR="002B5EF8" w:rsidRDefault="00C66404">
      <w:pPr>
        <w:pBdr>
          <w:top w:val="nil"/>
          <w:left w:val="nil"/>
          <w:bottom w:val="nil"/>
          <w:right w:val="nil"/>
          <w:between w:val="nil"/>
        </w:pBdr>
        <w:spacing w:before="0" w:after="0"/>
        <w:rPr>
          <w:b/>
          <w:color w:val="000000"/>
          <w:szCs w:val="24"/>
        </w:rPr>
      </w:pPr>
      <w:r>
        <w:rPr>
          <w:color w:val="000000"/>
          <w:szCs w:val="24"/>
        </w:rPr>
        <w:t>Autor</w:t>
      </w:r>
      <w:r>
        <w:rPr>
          <w:color w:val="000000"/>
          <w:szCs w:val="24"/>
          <w:vertAlign w:val="superscript"/>
        </w:rPr>
        <w:footnoteReference w:id="2"/>
      </w:r>
      <w:r>
        <w:rPr>
          <w:color w:val="000000"/>
          <w:szCs w:val="24"/>
        </w:rPr>
        <w:t xml:space="preserve"> </w:t>
      </w:r>
      <w:r>
        <w:rPr>
          <w:b/>
          <w:color w:val="000000"/>
          <w:szCs w:val="24"/>
        </w:rPr>
        <w:t>GALVIS-CANO</w:t>
      </w:r>
      <w:r>
        <w:rPr>
          <w:color w:val="000000"/>
          <w:szCs w:val="24"/>
        </w:rPr>
        <w:t xml:space="preserve">, </w:t>
      </w:r>
      <w:r>
        <w:rPr>
          <w:b/>
          <w:color w:val="000000"/>
          <w:szCs w:val="24"/>
        </w:rPr>
        <w:t>Erika T.</w:t>
      </w:r>
    </w:p>
    <w:p w:rsidR="002B5EF8" w:rsidRDefault="00C66404">
      <w:pPr>
        <w:pBdr>
          <w:top w:val="nil"/>
          <w:left w:val="nil"/>
          <w:bottom w:val="nil"/>
          <w:right w:val="nil"/>
          <w:between w:val="nil"/>
        </w:pBdr>
        <w:spacing w:before="0" w:after="0"/>
        <w:rPr>
          <w:b/>
          <w:color w:val="000000"/>
          <w:szCs w:val="24"/>
        </w:rPr>
      </w:pPr>
      <w:r>
        <w:rPr>
          <w:color w:val="000000"/>
          <w:szCs w:val="24"/>
        </w:rPr>
        <w:t>Autor</w:t>
      </w:r>
      <w:r>
        <w:rPr>
          <w:color w:val="000000"/>
          <w:szCs w:val="24"/>
          <w:vertAlign w:val="superscript"/>
        </w:rPr>
        <w:footnoteReference w:id="3"/>
      </w:r>
      <w:r>
        <w:rPr>
          <w:color w:val="000000"/>
          <w:szCs w:val="24"/>
        </w:rPr>
        <w:t xml:space="preserve"> </w:t>
      </w:r>
      <w:r>
        <w:rPr>
          <w:b/>
          <w:color w:val="000000"/>
          <w:szCs w:val="24"/>
        </w:rPr>
        <w:t>LESMEZ-PERALTA, Juan C.</w:t>
      </w:r>
    </w:p>
    <w:p w:rsidR="002B5EF8" w:rsidRDefault="002B5EF8">
      <w:pPr>
        <w:rPr>
          <w:b/>
        </w:rPr>
      </w:pPr>
    </w:p>
    <w:p w:rsidR="002B5EF8" w:rsidRDefault="00C66404">
      <w:pPr>
        <w:rPr>
          <w:b/>
        </w:rPr>
      </w:pPr>
      <w:r>
        <w:rPr>
          <w:b/>
        </w:rPr>
        <w:t>Resumen</w:t>
      </w:r>
    </w:p>
    <w:p w:rsidR="002B5EF8" w:rsidRDefault="00C66404">
      <w:r>
        <w:br/>
        <w:t xml:space="preserve">El glifosato, considerado por la comunidad agrícola mundial como uno de los herbicidas más efectivos en la erradicación de arvenses o  maleza, por años ha generado inquietud en la comunidad científica sobre los efectos adversos que puede generar en la salud de la población expuesta a su ingrediente activo; una de las muchas enfermedades asociadas al uso inapropiado del glifosato es el cáncer, afectación que pone al agroquímico en el radar de entidades como la Organización Mundial de la Salud, quien clasificó al glifosato en el 2015 como un plaguicida “probablemente cancerígeno para los seres humanos”, uno de los hechos que motiva la realización de la presente investigación por medio de la cual se desarrolla una revisión literaria sobre la relación existente entre la exposición ocupacional al glifosato implementado en la erradicación de arvenses en cultivos alimenticios y el daño sobre la salud de los agricultores. Para llevar a cabo la revisión literaria se implementa una metodología de investigación por la que se identifican 51 artículos que cumplen con los criterios de inclusión y exclusión aptos para el proceso, de estos artículos se extraen las enfermedades de mayor asociación con la exposición ocupacional al herbicida glifosato, destacando afectaciones como la enfermedad renal crónica de origen desconocido, alteración en la tiroides, espectro autista, Parkinson, linfoma no hodgkin, estrés oxidativo, entre otras, información que da un visión general de los efectos del </w:t>
      </w:r>
      <w:r>
        <w:lastRenderedPageBreak/>
        <w:t xml:space="preserve">glifosato en los agricultores; para el manejo de la información, se agruparon las enfermedades más citadas o relevantes, en los respectivos sistemas orgánicos del cuerpo humano (Sistema Urinario, Nervioso, Inmunitario, Endocrino, Cardiovascular, Respiratorio). Esta investigación pretende exponer los efectos adversos generados en la salud de los agricultores producto de la exposición a compuestos como el glifosato, herbicida de amplio espectro y de gran utilización para el control de plagas y eliminación de malezas en los cultivos agrícolas de tal forma que se puedan obtener resultados significativos que permitan sensibilizar al sector agrícola sobre la relevancia de medidas de control ante este herbicida. </w:t>
      </w:r>
    </w:p>
    <w:p w:rsidR="002B5EF8" w:rsidRDefault="002B5EF8"/>
    <w:p w:rsidR="002B5EF8" w:rsidRDefault="00C66404">
      <w:pPr>
        <w:jc w:val="left"/>
      </w:pPr>
      <w:r>
        <w:rPr>
          <w:b/>
        </w:rPr>
        <w:t>Palabras claves</w:t>
      </w:r>
    </w:p>
    <w:p w:rsidR="002B5EF8" w:rsidRDefault="00C66404">
      <w:pPr>
        <w:rPr>
          <w:b/>
        </w:rPr>
      </w:pPr>
      <w:r>
        <w:t>Glifosato, Riesgo, Exposición Ocupacional, Trabajador Agrícola.</w:t>
      </w:r>
    </w:p>
    <w:p w:rsidR="002B5EF8" w:rsidRDefault="002B5EF8">
      <w:pPr>
        <w:rPr>
          <w:b/>
        </w:rPr>
      </w:pPr>
    </w:p>
    <w:p w:rsidR="002B5EF8" w:rsidRDefault="00C66404">
      <w:pPr>
        <w:rPr>
          <w:b/>
        </w:rPr>
      </w:pPr>
      <w:r>
        <w:rPr>
          <w:b/>
        </w:rPr>
        <w:t>Abstract</w:t>
      </w:r>
    </w:p>
    <w:p w:rsidR="002B5EF8" w:rsidRDefault="00C66404">
      <w:r>
        <w:t xml:space="preserve">Glyphosate is the most widely used herbicide in the world, this is due to its ability to suppress any type of weed, even so, there is concern in the scientific community about the effects of glyphosate on health, since in 2015 the World Health Organization classified glyphosate as a pesticide "probably carcinogenic to humans", This is why the present research develops a literature review regarding the relationship between occupational exposure to glyphosate, herbicide implemented in the eradication of weeds in food crops and the damage on the human health of farmers. To carry out the literature review it was necessary to implement a methodology from which 51 articles suitable for the research were identified, since they met the inclusion and exclusion criteria, from the aforementioned articles the diseases that are allegedly attributed to occupational exposure to glyphosate were extracted, where diseases such as chronic kidney disease of unknown origin stand out, In order to give an overview of the effects of glyphosate on farmers, the most cited or relevant diseases were grouped into the respective systems of the human body (Urinary, Nervous, Immune, Endocrine, Cardiovascular, Respiratory and Organic Systems). This research aims to expose the adverse effects generated in the health of farmers as a result of exposure to compounds such as glyphosate, a broad-spectrum herbicide widely used for pest control and elimination of weeds in agricultural crops, in such a way that significant results can be obtained to raise awareness in the agricultural sector on the relevance of control measures against this herbicide. </w:t>
      </w:r>
    </w:p>
    <w:p w:rsidR="002B5EF8" w:rsidRDefault="002B5EF8">
      <w:pPr>
        <w:rPr>
          <w:b/>
        </w:rPr>
      </w:pPr>
    </w:p>
    <w:p w:rsidR="002B5EF8" w:rsidRDefault="00C66404">
      <w:pPr>
        <w:rPr>
          <w:b/>
        </w:rPr>
      </w:pPr>
      <w:r>
        <w:rPr>
          <w:b/>
        </w:rPr>
        <w:t xml:space="preserve">Keywords </w:t>
      </w:r>
    </w:p>
    <w:p w:rsidR="002B5EF8" w:rsidRDefault="00C66404">
      <w:r>
        <w:t>Glyphosate, Risk, Occupational Exposure, Agricultural Worker</w:t>
      </w:r>
    </w:p>
    <w:p w:rsidR="002B5EF8" w:rsidRDefault="00C66404">
      <w:pPr>
        <w:pStyle w:val="Ttulo1"/>
        <w:numPr>
          <w:ilvl w:val="0"/>
          <w:numId w:val="4"/>
        </w:numPr>
      </w:pPr>
      <w:r>
        <w:t xml:space="preserve">Introducción </w:t>
      </w:r>
    </w:p>
    <w:p w:rsidR="002B5EF8" w:rsidRDefault="00C66404">
      <w:r>
        <w:t xml:space="preserve">La agricultura es una importante actividad económica, qué según el Banco Mundial tan solo en Colombia representa el 15,77 % de la fuerza laboral, a pesar de esto el sector agrícola se caracteriza por tener una mano de obra inestable (Otero, 2019), si se compara con otros empleos en el área urbana y un sector laboral peligroso puesto que </w:t>
      </w:r>
      <w:r>
        <w:lastRenderedPageBreak/>
        <w:t>cada año muchos trabajadores agrícolas sufren accidentes laborales y tienen problemas de salud relacionados con su trabajo (OIT, 2011), características que han elevado las tasas de mortalidad entre los agricultores, y limitan los recursos disponibles para su compensación (Molina Guzmán &amp; Ríos Osorio, 2019).</w:t>
      </w:r>
    </w:p>
    <w:p w:rsidR="002B5EF8" w:rsidRDefault="00C66404">
      <w:r>
        <w:t>Son muchas las causas que contribuyen a la generación de accidentes y problemas de salud en la población agrícola, siendo una de ellas la exposición constante a productos químicos conocidos como plaguicidas utilizados para la protección de los cultivos durante el proceso de eliminación de organismos que puedan considerarse nocivos para la producción agrícola, pero que</w:t>
      </w:r>
      <w:r>
        <w:rPr>
          <w:color w:val="000000"/>
        </w:rPr>
        <w:t xml:space="preserve"> </w:t>
      </w:r>
      <w:r>
        <w:t xml:space="preserve">de acuerdo con la Organización internacional de trabajo (OIT, 2000), la inadecuada manipulación y la exposición constante a estos componentes, </w:t>
      </w:r>
      <w:r>
        <w:rPr>
          <w:color w:val="000000"/>
        </w:rPr>
        <w:t xml:space="preserve">constituyen uno de los principales riesgos profesionales en los trabajadores del campo; </w:t>
      </w:r>
      <w:r>
        <w:t>en Colombia, la exposición a plaguicidas considerada de tipo aguda o crónica está regulada mediante el decreto 1477 de 2014, con la llamada tabla de enfermedades laborales (Gordon &amp; Marrugo, 2018) que lista un gran número de afectaciones asociadas con el cáncer (neoplásias en la piel), enfermedades del sistema nervioso (polineuropatías), enfermedades en la visión (Blefaritis, glaucoma y parálisis pupilar),  enfermedades del sistema respiratorio (necrosis y perforaciones del tabique nasal), enfermedades de la piel (Queratosis), enfermedades del sistema endocrino (Hipotiroidismo) e intoxicaciones (Ministerio de Trabajo, 2014),  que según la Organización Internacional de Trabajo pueden asociarse  a un empleo excesivo de plaguicidas, un uso limitado de EPP</w:t>
      </w:r>
      <w:r>
        <w:rPr>
          <w:vertAlign w:val="superscript"/>
        </w:rPr>
        <w:footnoteReference w:id="4"/>
      </w:r>
      <w:r>
        <w:t xml:space="preserve"> y la inadecuada implementación de regulaciones para su uso (ISEE-LAC &amp; OPS/OMS, 2021). </w:t>
      </w:r>
    </w:p>
    <w:p w:rsidR="002B5EF8" w:rsidRDefault="00C66404">
      <w:pPr>
        <w:rPr>
          <w:color w:val="000000"/>
        </w:rPr>
      </w:pPr>
      <w:r>
        <w:rPr>
          <w:color w:val="000000"/>
        </w:rPr>
        <w:t xml:space="preserve">La exposición a agroquímicos es usual en las labores agrícolas, compuestos que se dividen en diversas clasificaciones según su uso y efectividad y sobre los que se destaca no solo para Colombia sino para el mundo en general el amplio manejo del llamado Glifosato, que representa tan solo para nuestro país el 14% (Valbuena et al., 2021) de las ventas totales en productos químicos agrícolas y sobre el cual se ha generado diversas controversias por su extenso uso en los cultivos generalmente alimenticios y los efectos que puede traer en las personas expuestas a este herbicida, ya que su manipulación se ha asociado con afectaciones en la salud humana, como  enfermedades dermatológicas, oculares, hormonales e incluso como potencial causante y generador de diversos tipos de cánceres (Muñoz, 2021). </w:t>
      </w:r>
    </w:p>
    <w:p w:rsidR="002B5EF8" w:rsidRDefault="00C66404">
      <w:pPr>
        <w:rPr>
          <w:color w:val="000000"/>
          <w:highlight w:val="white"/>
        </w:rPr>
      </w:pPr>
      <w:r>
        <w:t xml:space="preserve">Finalmente, </w:t>
      </w:r>
      <w:r>
        <w:rPr>
          <w:color w:val="000000"/>
        </w:rPr>
        <w:t xml:space="preserve">la presente  </w:t>
      </w:r>
      <w:r>
        <w:t>investigación pretende reunir las principales características de los plaguicidas, nociones, conceptos relacionados con el glifosato y evidencia científica que relacione la manipulación del glifosato con los posibles efectos de los trabajadores del campo expuestos durante sus labores, para de esta forma lograr</w:t>
      </w:r>
      <w:r>
        <w:rPr>
          <w:highlight w:val="white"/>
        </w:rPr>
        <w:t xml:space="preserve"> identifica</w:t>
      </w:r>
      <w:r>
        <w:rPr>
          <w:color w:val="000000"/>
          <w:highlight w:val="white"/>
        </w:rPr>
        <w:t>r</w:t>
      </w:r>
      <w:r>
        <w:rPr>
          <w:highlight w:val="white"/>
        </w:rPr>
        <w:t xml:space="preserve"> factores de riesgo, </w:t>
      </w:r>
      <w:r>
        <w:rPr>
          <w:color w:val="000000"/>
          <w:highlight w:val="white"/>
        </w:rPr>
        <w:t>con el fin de</w:t>
      </w:r>
      <w:r>
        <w:rPr>
          <w:highlight w:val="white"/>
        </w:rPr>
        <w:t xml:space="preserve"> plantear recomendaciones y crear tendencias que orienten a futuras investigaciones respecto a la temática en cuestión, para así aportar en cierta medida a salvaguardar la vida de millones de trabajadores agrícolas. </w:t>
      </w:r>
      <w:r>
        <w:rPr>
          <w:color w:val="000000"/>
          <w:highlight w:val="white"/>
        </w:rPr>
        <w:t> </w:t>
      </w:r>
    </w:p>
    <w:p w:rsidR="002B5EF8" w:rsidRDefault="00C66404">
      <w:pPr>
        <w:pStyle w:val="Ttulo1"/>
        <w:numPr>
          <w:ilvl w:val="0"/>
          <w:numId w:val="4"/>
        </w:numPr>
      </w:pPr>
      <w:r>
        <w:lastRenderedPageBreak/>
        <w:t xml:space="preserve">Metodología </w:t>
      </w:r>
    </w:p>
    <w:p w:rsidR="002B5EF8" w:rsidRDefault="00C66404">
      <w:r>
        <w:t xml:space="preserve"> El diseño metodológico consistió en aplicar el proceso de revisión sistemática planteado por Tranfield, Denyer and Smart (2003), complementado con la metodología propuesta por Barbara Kitchenham (2004), dicha metodología comprende tres etapas principales: Planeación de la revisión, Ejecución de la revisión e Informe de los resultados. A continuación, de manera breve se expondrá cada una de ellas. </w:t>
      </w:r>
    </w:p>
    <w:p w:rsidR="002B5EF8" w:rsidRDefault="00C66404">
      <w:pPr>
        <w:rPr>
          <w:b/>
        </w:rPr>
      </w:pPr>
      <w:r>
        <w:rPr>
          <w:b/>
        </w:rPr>
        <w:t xml:space="preserve">Etapa I: Planeación de la revisión </w:t>
      </w:r>
    </w:p>
    <w:p w:rsidR="002B5EF8" w:rsidRDefault="00C66404">
      <w:r>
        <w:t>En esta etapa se lleva a cabo tres actividades que definen la manera cómo va a ser desarrollada la revisión: la primera actividad es la Identificación de la necesidad de una revisión, en esta actividad se realizó una consulta previa de artículos científicos donde se puedo observar la necesidad de información respecto a la identificación de los efectos adversos ocasionados en la salud de los agricultores producto de la exposición ocupacional al glifosato; adicionalmente se identificó que al realizar la presente investigación se contribuye al desarrollo de conocimiento en el marco de la seguridad y salud en el trabajo, aportando al crecimiento social, científico y laboral de un sector con gran acogida en Colombia como lo es el sector agrícola, la segunda actividad es la Especificación de una pregunta de investigación, teniendo en cuenta el alcance del proyecto, la pregunta de investigación que surge y a la cual se requiere dar respuesta es: ¿Cuáles son los posibles efectos sobre la salud de los agricultores por exposición ocupacional al glifosato para la erradicación de arvenses en cultivos alimenticios?, por último la tercera actividad es el Desarrollo de un protocolo de revisión, el cual el protocolo a implementar es el propuesto por Barbara Kitchenham (2014), expuesto en la siguiente figura.</w:t>
      </w:r>
    </w:p>
    <w:p w:rsidR="002B5EF8" w:rsidRDefault="00C66404">
      <w:pPr>
        <w:keepNext/>
        <w:pBdr>
          <w:top w:val="nil"/>
          <w:left w:val="nil"/>
          <w:bottom w:val="nil"/>
          <w:right w:val="nil"/>
          <w:between w:val="nil"/>
        </w:pBdr>
        <w:jc w:val="center"/>
        <w:rPr>
          <w:b/>
          <w:color w:val="000000"/>
          <w:szCs w:val="24"/>
        </w:rPr>
      </w:pPr>
      <w:r>
        <w:rPr>
          <w:b/>
          <w:color w:val="000000"/>
          <w:szCs w:val="24"/>
        </w:rPr>
        <w:t>Figura 1.</w:t>
      </w:r>
    </w:p>
    <w:p w:rsidR="002B5EF8" w:rsidRDefault="00C66404">
      <w:pPr>
        <w:keepNext/>
        <w:pBdr>
          <w:top w:val="nil"/>
          <w:left w:val="nil"/>
          <w:bottom w:val="nil"/>
          <w:right w:val="nil"/>
          <w:between w:val="nil"/>
        </w:pBdr>
        <w:jc w:val="center"/>
        <w:rPr>
          <w:color w:val="000000"/>
          <w:szCs w:val="24"/>
        </w:rPr>
      </w:pPr>
      <w:r>
        <w:rPr>
          <w:color w:val="000000"/>
          <w:szCs w:val="24"/>
        </w:rPr>
        <w:t>Protocolo de Revisión Sistemática</w:t>
      </w:r>
    </w:p>
    <w:tbl>
      <w:tblPr>
        <w:tblStyle w:val="a"/>
        <w:tblW w:w="6516" w:type="dxa"/>
        <w:jc w:val="center"/>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00" w:firstRow="0" w:lastRow="0" w:firstColumn="0" w:lastColumn="0" w:noHBand="0" w:noVBand="1"/>
      </w:tblPr>
      <w:tblGrid>
        <w:gridCol w:w="1271"/>
        <w:gridCol w:w="5245"/>
      </w:tblGrid>
      <w:tr w:rsidR="002B5EF8">
        <w:trPr>
          <w:jc w:val="center"/>
        </w:trPr>
        <w:tc>
          <w:tcPr>
            <w:tcW w:w="6516" w:type="dxa"/>
            <w:gridSpan w:val="2"/>
            <w:shd w:val="clear" w:color="auto" w:fill="C5E0B3"/>
            <w:vAlign w:val="center"/>
          </w:tcPr>
          <w:p w:rsidR="002B5EF8" w:rsidRDefault="00C66404">
            <w:pPr>
              <w:spacing w:line="360" w:lineRule="auto"/>
              <w:jc w:val="center"/>
              <w:rPr>
                <w:b/>
                <w:sz w:val="22"/>
              </w:rPr>
            </w:pPr>
            <w:r>
              <w:rPr>
                <w:b/>
                <w:sz w:val="22"/>
              </w:rPr>
              <w:t>REVISIÓN SISTÉMICA</w:t>
            </w:r>
          </w:p>
        </w:tc>
      </w:tr>
      <w:tr w:rsidR="002B5EF8">
        <w:trPr>
          <w:trHeight w:val="210"/>
          <w:jc w:val="center"/>
        </w:trPr>
        <w:tc>
          <w:tcPr>
            <w:tcW w:w="1271" w:type="dxa"/>
            <w:vMerge w:val="restart"/>
            <w:shd w:val="clear" w:color="auto" w:fill="C5E0B3"/>
            <w:vAlign w:val="center"/>
          </w:tcPr>
          <w:p w:rsidR="002B5EF8" w:rsidRDefault="00C66404">
            <w:pPr>
              <w:spacing w:line="360" w:lineRule="auto"/>
              <w:jc w:val="center"/>
              <w:rPr>
                <w:b/>
                <w:sz w:val="22"/>
              </w:rPr>
            </w:pPr>
            <w:r>
              <w:rPr>
                <w:b/>
                <w:sz w:val="22"/>
              </w:rPr>
              <w:t>ETAPA 1</w:t>
            </w:r>
          </w:p>
        </w:tc>
        <w:tc>
          <w:tcPr>
            <w:tcW w:w="5245" w:type="dxa"/>
            <w:shd w:val="clear" w:color="auto" w:fill="E6E6E6"/>
            <w:vAlign w:val="center"/>
          </w:tcPr>
          <w:p w:rsidR="002B5EF8" w:rsidRDefault="00C66404">
            <w:pPr>
              <w:spacing w:line="360" w:lineRule="auto"/>
              <w:jc w:val="center"/>
              <w:rPr>
                <w:b/>
                <w:sz w:val="22"/>
              </w:rPr>
            </w:pPr>
            <w:r>
              <w:rPr>
                <w:b/>
                <w:sz w:val="22"/>
              </w:rPr>
              <w:t>PLANIFICACIÓN DE LA REVISIÓN</w:t>
            </w:r>
          </w:p>
        </w:tc>
      </w:tr>
      <w:tr w:rsidR="002B5EF8">
        <w:trPr>
          <w:trHeight w:val="210"/>
          <w:jc w:val="center"/>
        </w:trPr>
        <w:tc>
          <w:tcPr>
            <w:tcW w:w="1271" w:type="dxa"/>
            <w:vMerge/>
            <w:shd w:val="clear" w:color="auto" w:fill="C5E0B3"/>
            <w:vAlign w:val="center"/>
          </w:tcPr>
          <w:p w:rsidR="002B5EF8" w:rsidRDefault="002B5EF8">
            <w:pPr>
              <w:widowControl w:val="0"/>
              <w:pBdr>
                <w:top w:val="nil"/>
                <w:left w:val="nil"/>
                <w:bottom w:val="nil"/>
                <w:right w:val="nil"/>
                <w:between w:val="nil"/>
              </w:pBdr>
              <w:spacing w:before="0" w:after="0" w:line="276" w:lineRule="auto"/>
              <w:jc w:val="left"/>
              <w:rPr>
                <w:b/>
                <w:sz w:val="22"/>
              </w:rPr>
            </w:pPr>
          </w:p>
        </w:tc>
        <w:tc>
          <w:tcPr>
            <w:tcW w:w="5245" w:type="dxa"/>
            <w:shd w:val="clear" w:color="auto" w:fill="auto"/>
            <w:vAlign w:val="center"/>
          </w:tcPr>
          <w:p w:rsidR="002B5EF8" w:rsidRDefault="00C66404">
            <w:pPr>
              <w:numPr>
                <w:ilvl w:val="0"/>
                <w:numId w:val="5"/>
              </w:numPr>
              <w:spacing w:before="240" w:after="0" w:line="360" w:lineRule="auto"/>
              <w:ind w:hanging="284"/>
              <w:jc w:val="left"/>
              <w:rPr>
                <w:sz w:val="22"/>
              </w:rPr>
            </w:pPr>
            <w:r>
              <w:rPr>
                <w:sz w:val="22"/>
              </w:rPr>
              <w:t xml:space="preserve">Identificación de la necesidad de una revisión </w:t>
            </w:r>
          </w:p>
          <w:p w:rsidR="002B5EF8" w:rsidRDefault="00C66404">
            <w:pPr>
              <w:numPr>
                <w:ilvl w:val="0"/>
                <w:numId w:val="5"/>
              </w:numPr>
              <w:spacing w:before="0" w:after="0" w:line="360" w:lineRule="auto"/>
              <w:ind w:hanging="284"/>
              <w:jc w:val="left"/>
              <w:rPr>
                <w:sz w:val="22"/>
              </w:rPr>
            </w:pPr>
            <w:r>
              <w:rPr>
                <w:sz w:val="22"/>
              </w:rPr>
              <w:t xml:space="preserve">Especificación de la pregunta de investigación </w:t>
            </w:r>
          </w:p>
          <w:p w:rsidR="002B5EF8" w:rsidRDefault="00C66404">
            <w:pPr>
              <w:numPr>
                <w:ilvl w:val="0"/>
                <w:numId w:val="5"/>
              </w:numPr>
              <w:spacing w:before="0" w:after="240" w:line="360" w:lineRule="auto"/>
              <w:ind w:hanging="284"/>
              <w:jc w:val="left"/>
              <w:rPr>
                <w:sz w:val="22"/>
              </w:rPr>
            </w:pPr>
            <w:r>
              <w:rPr>
                <w:sz w:val="22"/>
              </w:rPr>
              <w:t xml:space="preserve">El desarrollo de un protocolo de revisión </w:t>
            </w:r>
          </w:p>
        </w:tc>
      </w:tr>
      <w:tr w:rsidR="002B5EF8">
        <w:trPr>
          <w:trHeight w:val="210"/>
          <w:jc w:val="center"/>
        </w:trPr>
        <w:tc>
          <w:tcPr>
            <w:tcW w:w="1271" w:type="dxa"/>
            <w:vMerge w:val="restart"/>
            <w:shd w:val="clear" w:color="auto" w:fill="C5E0B3"/>
            <w:vAlign w:val="center"/>
          </w:tcPr>
          <w:p w:rsidR="002B5EF8" w:rsidRDefault="00C66404">
            <w:pPr>
              <w:spacing w:line="360" w:lineRule="auto"/>
              <w:jc w:val="center"/>
              <w:rPr>
                <w:b/>
                <w:sz w:val="22"/>
              </w:rPr>
            </w:pPr>
            <w:r>
              <w:rPr>
                <w:b/>
                <w:sz w:val="22"/>
              </w:rPr>
              <w:t>ETAPA 2</w:t>
            </w:r>
          </w:p>
        </w:tc>
        <w:tc>
          <w:tcPr>
            <w:tcW w:w="5245" w:type="dxa"/>
            <w:tcBorders>
              <w:top w:val="single" w:sz="4" w:space="0" w:color="A5A5A5"/>
              <w:left w:val="single" w:sz="4" w:space="0" w:color="A5A5A5"/>
              <w:bottom w:val="single" w:sz="4" w:space="0" w:color="A5A5A5"/>
              <w:right w:val="single" w:sz="4" w:space="0" w:color="A5A5A5"/>
            </w:tcBorders>
            <w:shd w:val="clear" w:color="auto" w:fill="E7E6E6"/>
            <w:vAlign w:val="center"/>
          </w:tcPr>
          <w:p w:rsidR="002B5EF8" w:rsidRDefault="00C66404">
            <w:pPr>
              <w:spacing w:line="360" w:lineRule="auto"/>
              <w:jc w:val="center"/>
              <w:rPr>
                <w:b/>
                <w:sz w:val="22"/>
              </w:rPr>
            </w:pPr>
            <w:r>
              <w:rPr>
                <w:b/>
                <w:sz w:val="22"/>
              </w:rPr>
              <w:t xml:space="preserve">EJECUCIÓN DE LA REVISIÓN </w:t>
            </w:r>
          </w:p>
        </w:tc>
      </w:tr>
      <w:tr w:rsidR="002B5EF8">
        <w:trPr>
          <w:trHeight w:val="210"/>
          <w:jc w:val="center"/>
        </w:trPr>
        <w:tc>
          <w:tcPr>
            <w:tcW w:w="1271" w:type="dxa"/>
            <w:vMerge/>
            <w:shd w:val="clear" w:color="auto" w:fill="C5E0B3"/>
            <w:vAlign w:val="center"/>
          </w:tcPr>
          <w:p w:rsidR="002B5EF8" w:rsidRDefault="002B5EF8">
            <w:pPr>
              <w:widowControl w:val="0"/>
              <w:pBdr>
                <w:top w:val="nil"/>
                <w:left w:val="nil"/>
                <w:bottom w:val="nil"/>
                <w:right w:val="nil"/>
                <w:between w:val="nil"/>
              </w:pBdr>
              <w:spacing w:before="0" w:after="0" w:line="276" w:lineRule="auto"/>
              <w:jc w:val="left"/>
              <w:rPr>
                <w:b/>
                <w:sz w:val="22"/>
              </w:rPr>
            </w:pPr>
          </w:p>
        </w:tc>
        <w:tc>
          <w:tcPr>
            <w:tcW w:w="5245" w:type="dxa"/>
            <w:tcBorders>
              <w:top w:val="single" w:sz="4" w:space="0" w:color="A5A5A5"/>
              <w:left w:val="single" w:sz="4" w:space="0" w:color="A5A5A5"/>
              <w:bottom w:val="single" w:sz="4" w:space="0" w:color="A5A5A5"/>
              <w:right w:val="single" w:sz="4" w:space="0" w:color="A5A5A5"/>
            </w:tcBorders>
            <w:shd w:val="clear" w:color="auto" w:fill="auto"/>
            <w:vAlign w:val="center"/>
          </w:tcPr>
          <w:p w:rsidR="002B5EF8" w:rsidRDefault="00C66404">
            <w:pPr>
              <w:numPr>
                <w:ilvl w:val="0"/>
                <w:numId w:val="5"/>
              </w:numPr>
              <w:spacing w:before="240" w:after="0" w:line="360" w:lineRule="auto"/>
              <w:ind w:hanging="284"/>
              <w:jc w:val="left"/>
              <w:rPr>
                <w:sz w:val="22"/>
              </w:rPr>
            </w:pPr>
            <w:r>
              <w:rPr>
                <w:sz w:val="22"/>
              </w:rPr>
              <w:t xml:space="preserve">Identificación de la investigación </w:t>
            </w:r>
          </w:p>
          <w:p w:rsidR="002B5EF8" w:rsidRDefault="00C66404">
            <w:pPr>
              <w:numPr>
                <w:ilvl w:val="0"/>
                <w:numId w:val="5"/>
              </w:numPr>
              <w:spacing w:before="0" w:after="0" w:line="360" w:lineRule="auto"/>
              <w:ind w:hanging="284"/>
              <w:jc w:val="left"/>
              <w:rPr>
                <w:sz w:val="22"/>
              </w:rPr>
            </w:pPr>
            <w:r>
              <w:rPr>
                <w:sz w:val="22"/>
              </w:rPr>
              <w:t>Selección de los estudios y Artículos relevantes</w:t>
            </w:r>
          </w:p>
          <w:p w:rsidR="002B5EF8" w:rsidRDefault="00C66404">
            <w:pPr>
              <w:numPr>
                <w:ilvl w:val="0"/>
                <w:numId w:val="5"/>
              </w:numPr>
              <w:spacing w:before="0" w:after="240" w:line="360" w:lineRule="auto"/>
              <w:ind w:hanging="284"/>
              <w:jc w:val="left"/>
              <w:rPr>
                <w:sz w:val="22"/>
              </w:rPr>
            </w:pPr>
            <w:r>
              <w:rPr>
                <w:sz w:val="22"/>
              </w:rPr>
              <w:t xml:space="preserve">Extracción, seguimiento y síntesis de los datos </w:t>
            </w:r>
          </w:p>
        </w:tc>
      </w:tr>
      <w:tr w:rsidR="002B5EF8">
        <w:trPr>
          <w:trHeight w:val="210"/>
          <w:jc w:val="center"/>
        </w:trPr>
        <w:tc>
          <w:tcPr>
            <w:tcW w:w="1271" w:type="dxa"/>
            <w:shd w:val="clear" w:color="auto" w:fill="C5E0B3"/>
            <w:vAlign w:val="center"/>
          </w:tcPr>
          <w:p w:rsidR="002B5EF8" w:rsidRDefault="00C66404">
            <w:pPr>
              <w:spacing w:line="360" w:lineRule="auto"/>
              <w:jc w:val="center"/>
              <w:rPr>
                <w:b/>
                <w:sz w:val="22"/>
              </w:rPr>
            </w:pPr>
            <w:r>
              <w:rPr>
                <w:b/>
                <w:sz w:val="22"/>
              </w:rPr>
              <w:lastRenderedPageBreak/>
              <w:t>ETAPA 3</w:t>
            </w:r>
          </w:p>
        </w:tc>
        <w:tc>
          <w:tcPr>
            <w:tcW w:w="5245" w:type="dxa"/>
            <w:tcBorders>
              <w:top w:val="single" w:sz="4" w:space="0" w:color="A5A5A5"/>
              <w:left w:val="single" w:sz="4" w:space="0" w:color="A5A5A5"/>
              <w:bottom w:val="single" w:sz="4" w:space="0" w:color="A5A5A5"/>
              <w:right w:val="single" w:sz="4" w:space="0" w:color="A5A5A5"/>
            </w:tcBorders>
            <w:shd w:val="clear" w:color="auto" w:fill="E7E6E6"/>
            <w:vAlign w:val="center"/>
          </w:tcPr>
          <w:p w:rsidR="002B5EF8" w:rsidRDefault="00C66404">
            <w:pPr>
              <w:spacing w:line="360" w:lineRule="auto"/>
              <w:jc w:val="center"/>
              <w:rPr>
                <w:b/>
                <w:sz w:val="22"/>
              </w:rPr>
            </w:pPr>
            <w:r>
              <w:rPr>
                <w:b/>
                <w:sz w:val="22"/>
              </w:rPr>
              <w:t xml:space="preserve">INFORME DE LOS RESULTADOS </w:t>
            </w:r>
          </w:p>
        </w:tc>
      </w:tr>
    </w:tbl>
    <w:p w:rsidR="002B5EF8" w:rsidRDefault="00C66404">
      <w:pPr>
        <w:spacing w:before="240" w:after="160" w:line="360" w:lineRule="auto"/>
      </w:pPr>
      <w:r>
        <w:rPr>
          <w:i/>
        </w:rPr>
        <w:t xml:space="preserve">Nota: </w:t>
      </w:r>
      <w:r>
        <w:t>Adaptado del protocolo de revisión propuesto por Barbara Kitchenham (2004)</w:t>
      </w:r>
    </w:p>
    <w:p w:rsidR="002B5EF8" w:rsidRDefault="00C66404">
      <w:pPr>
        <w:rPr>
          <w:b/>
        </w:rPr>
      </w:pPr>
      <w:r>
        <w:rPr>
          <w:b/>
        </w:rPr>
        <w:t>Etapa II: Ejecución de la revisión</w:t>
      </w:r>
    </w:p>
    <w:p w:rsidR="002B5EF8" w:rsidRDefault="00C66404">
      <w:r>
        <w:t>Esta fase al igual que la anterior consta de tres actividades: la primera es la Identificación de la investigación, por medio de un análisis preliminar de la revisión de literatura se identificaron cuatro grupos de palabras clave, grupos conformados por conceptos análogos y relevantes para la investigación en curso.</w:t>
      </w:r>
    </w:p>
    <w:p w:rsidR="002B5EF8" w:rsidRDefault="00C66404">
      <w:pPr>
        <w:pBdr>
          <w:top w:val="nil"/>
          <w:left w:val="nil"/>
          <w:bottom w:val="nil"/>
          <w:right w:val="nil"/>
          <w:between w:val="nil"/>
        </w:pBdr>
        <w:jc w:val="center"/>
        <w:rPr>
          <w:b/>
          <w:color w:val="000000"/>
          <w:szCs w:val="24"/>
        </w:rPr>
      </w:pPr>
      <w:bookmarkStart w:id="1" w:name="_heading=h.30j0zll" w:colFirst="0" w:colLast="0"/>
      <w:bookmarkEnd w:id="1"/>
      <w:r>
        <w:rPr>
          <w:b/>
          <w:color w:val="000000"/>
          <w:szCs w:val="24"/>
        </w:rPr>
        <w:t>Tabla 1.</w:t>
      </w:r>
    </w:p>
    <w:p w:rsidR="002B5EF8" w:rsidRDefault="00C66404">
      <w:pPr>
        <w:pBdr>
          <w:top w:val="nil"/>
          <w:left w:val="nil"/>
          <w:bottom w:val="nil"/>
          <w:right w:val="nil"/>
          <w:between w:val="nil"/>
        </w:pBdr>
        <w:jc w:val="center"/>
        <w:rPr>
          <w:color w:val="000000"/>
          <w:szCs w:val="24"/>
        </w:rPr>
      </w:pPr>
      <w:r>
        <w:rPr>
          <w:color w:val="000000"/>
          <w:szCs w:val="24"/>
        </w:rPr>
        <w:t>Identificación de Palabras Clave</w:t>
      </w:r>
    </w:p>
    <w:tbl>
      <w:tblPr>
        <w:tblStyle w:val="a0"/>
        <w:tblW w:w="8789" w:type="dxa"/>
        <w:jc w:val="center"/>
        <w:tblInd w:w="0" w:type="dxa"/>
        <w:tblBorders>
          <w:top w:val="single" w:sz="4" w:space="0" w:color="7F7F7F"/>
          <w:bottom w:val="single" w:sz="4" w:space="0" w:color="7F7F7F"/>
        </w:tblBorders>
        <w:tblLayout w:type="fixed"/>
        <w:tblLook w:val="0400" w:firstRow="0" w:lastRow="0" w:firstColumn="0" w:lastColumn="0" w:noHBand="0" w:noVBand="1"/>
      </w:tblPr>
      <w:tblGrid>
        <w:gridCol w:w="1276"/>
        <w:gridCol w:w="2693"/>
        <w:gridCol w:w="2410"/>
        <w:gridCol w:w="2410"/>
      </w:tblGrid>
      <w:tr w:rsidR="002B5EF8">
        <w:trPr>
          <w:jc w:val="center"/>
        </w:trPr>
        <w:tc>
          <w:tcPr>
            <w:tcW w:w="1276" w:type="dxa"/>
            <w:tcBorders>
              <w:top w:val="single" w:sz="4" w:space="0" w:color="000000"/>
              <w:bottom w:val="single" w:sz="4" w:space="0" w:color="000000"/>
            </w:tcBorders>
            <w:shd w:val="clear" w:color="auto" w:fill="auto"/>
          </w:tcPr>
          <w:p w:rsidR="002B5EF8" w:rsidRDefault="00C66404">
            <w:pPr>
              <w:spacing w:line="360" w:lineRule="auto"/>
              <w:jc w:val="center"/>
              <w:rPr>
                <w:b/>
                <w:i/>
                <w:sz w:val="22"/>
              </w:rPr>
            </w:pPr>
            <w:r>
              <w:rPr>
                <w:b/>
                <w:i/>
                <w:sz w:val="22"/>
              </w:rPr>
              <w:t>Peligro</w:t>
            </w:r>
          </w:p>
        </w:tc>
        <w:tc>
          <w:tcPr>
            <w:tcW w:w="2693" w:type="dxa"/>
            <w:tcBorders>
              <w:top w:val="single" w:sz="4" w:space="0" w:color="000000"/>
              <w:bottom w:val="single" w:sz="4" w:space="0" w:color="000000"/>
            </w:tcBorders>
            <w:shd w:val="clear" w:color="auto" w:fill="auto"/>
          </w:tcPr>
          <w:p w:rsidR="002B5EF8" w:rsidRDefault="00C66404">
            <w:pPr>
              <w:spacing w:line="360" w:lineRule="auto"/>
              <w:jc w:val="center"/>
              <w:rPr>
                <w:b/>
                <w:i/>
                <w:sz w:val="22"/>
              </w:rPr>
            </w:pPr>
            <w:r>
              <w:rPr>
                <w:b/>
                <w:i/>
                <w:sz w:val="22"/>
              </w:rPr>
              <w:t>Riesgo a la salud</w:t>
            </w:r>
          </w:p>
        </w:tc>
        <w:tc>
          <w:tcPr>
            <w:tcW w:w="2410" w:type="dxa"/>
            <w:tcBorders>
              <w:top w:val="single" w:sz="4" w:space="0" w:color="000000"/>
              <w:bottom w:val="single" w:sz="4" w:space="0" w:color="000000"/>
            </w:tcBorders>
            <w:shd w:val="clear" w:color="auto" w:fill="auto"/>
          </w:tcPr>
          <w:p w:rsidR="002B5EF8" w:rsidRDefault="00C66404">
            <w:pPr>
              <w:spacing w:line="360" w:lineRule="auto"/>
              <w:jc w:val="center"/>
              <w:rPr>
                <w:b/>
                <w:i/>
                <w:sz w:val="22"/>
              </w:rPr>
            </w:pPr>
            <w:r>
              <w:rPr>
                <w:b/>
                <w:i/>
                <w:sz w:val="22"/>
              </w:rPr>
              <w:t>Trabajador</w:t>
            </w:r>
          </w:p>
        </w:tc>
        <w:tc>
          <w:tcPr>
            <w:tcW w:w="2410" w:type="dxa"/>
            <w:tcBorders>
              <w:top w:val="single" w:sz="4" w:space="0" w:color="000000"/>
              <w:bottom w:val="single" w:sz="4" w:space="0" w:color="000000"/>
            </w:tcBorders>
            <w:shd w:val="clear" w:color="auto" w:fill="auto"/>
          </w:tcPr>
          <w:p w:rsidR="002B5EF8" w:rsidRDefault="00C66404">
            <w:pPr>
              <w:spacing w:line="360" w:lineRule="auto"/>
              <w:jc w:val="center"/>
              <w:rPr>
                <w:b/>
                <w:i/>
                <w:sz w:val="22"/>
              </w:rPr>
            </w:pPr>
            <w:r>
              <w:rPr>
                <w:b/>
                <w:i/>
                <w:sz w:val="22"/>
              </w:rPr>
              <w:t>Producto</w:t>
            </w:r>
          </w:p>
        </w:tc>
      </w:tr>
      <w:tr w:rsidR="002B5EF8">
        <w:trPr>
          <w:trHeight w:val="1740"/>
          <w:jc w:val="center"/>
        </w:trPr>
        <w:tc>
          <w:tcPr>
            <w:tcW w:w="1276" w:type="dxa"/>
            <w:tcBorders>
              <w:top w:val="single" w:sz="4" w:space="0" w:color="000000"/>
              <w:bottom w:val="single" w:sz="4" w:space="0" w:color="000000"/>
            </w:tcBorders>
            <w:shd w:val="clear" w:color="auto" w:fill="auto"/>
            <w:vAlign w:val="center"/>
          </w:tcPr>
          <w:p w:rsidR="002B5EF8" w:rsidRDefault="00C66404">
            <w:pPr>
              <w:spacing w:line="360" w:lineRule="auto"/>
              <w:jc w:val="left"/>
              <w:rPr>
                <w:color w:val="000000"/>
                <w:sz w:val="22"/>
                <w:highlight w:val="white"/>
              </w:rPr>
            </w:pPr>
            <w:r>
              <w:rPr>
                <w:color w:val="000000"/>
                <w:sz w:val="22"/>
                <w:highlight w:val="white"/>
              </w:rPr>
              <w:t>-  Hazard</w:t>
            </w:r>
          </w:p>
          <w:p w:rsidR="002B5EF8" w:rsidRDefault="00C66404">
            <w:pPr>
              <w:spacing w:line="360" w:lineRule="auto"/>
              <w:jc w:val="left"/>
              <w:rPr>
                <w:color w:val="000000"/>
                <w:sz w:val="22"/>
                <w:highlight w:val="white"/>
              </w:rPr>
            </w:pPr>
            <w:r>
              <w:rPr>
                <w:color w:val="000000"/>
                <w:sz w:val="22"/>
                <w:highlight w:val="white"/>
              </w:rPr>
              <w:t>- Risk</w:t>
            </w:r>
          </w:p>
          <w:p w:rsidR="002B5EF8" w:rsidRDefault="00C66404">
            <w:pPr>
              <w:spacing w:line="360" w:lineRule="auto"/>
              <w:jc w:val="left"/>
              <w:rPr>
                <w:color w:val="000000"/>
                <w:sz w:val="22"/>
                <w:highlight w:val="white"/>
              </w:rPr>
            </w:pPr>
            <w:r>
              <w:rPr>
                <w:color w:val="000000"/>
                <w:sz w:val="22"/>
                <w:highlight w:val="white"/>
              </w:rPr>
              <w:t>- Danger</w:t>
            </w:r>
          </w:p>
          <w:p w:rsidR="002B5EF8" w:rsidRDefault="00C66404">
            <w:pPr>
              <w:spacing w:line="360" w:lineRule="auto"/>
              <w:jc w:val="left"/>
              <w:rPr>
                <w:b/>
                <w:sz w:val="22"/>
              </w:rPr>
            </w:pPr>
            <w:r>
              <w:rPr>
                <w:color w:val="000000"/>
                <w:sz w:val="22"/>
                <w:highlight w:val="white"/>
              </w:rPr>
              <w:t>- Exposure</w:t>
            </w:r>
          </w:p>
        </w:tc>
        <w:tc>
          <w:tcPr>
            <w:tcW w:w="2693" w:type="dxa"/>
            <w:tcBorders>
              <w:top w:val="single" w:sz="4" w:space="0" w:color="000000"/>
              <w:bottom w:val="single" w:sz="4" w:space="0" w:color="000000"/>
            </w:tcBorders>
            <w:shd w:val="clear" w:color="auto" w:fill="auto"/>
            <w:vAlign w:val="center"/>
          </w:tcPr>
          <w:p w:rsidR="002B5EF8" w:rsidRDefault="00C66404">
            <w:pPr>
              <w:spacing w:line="360" w:lineRule="auto"/>
              <w:jc w:val="left"/>
              <w:rPr>
                <w:color w:val="000000"/>
                <w:sz w:val="22"/>
                <w:highlight w:val="white"/>
              </w:rPr>
            </w:pPr>
            <w:r>
              <w:rPr>
                <w:color w:val="000000"/>
                <w:sz w:val="22"/>
                <w:highlight w:val="white"/>
              </w:rPr>
              <w:t>- Occupational health</w:t>
            </w:r>
          </w:p>
          <w:p w:rsidR="002B5EF8" w:rsidRDefault="00C66404">
            <w:pPr>
              <w:spacing w:line="360" w:lineRule="auto"/>
              <w:jc w:val="left"/>
              <w:rPr>
                <w:color w:val="000000"/>
                <w:sz w:val="22"/>
                <w:highlight w:val="white"/>
              </w:rPr>
            </w:pPr>
            <w:r>
              <w:rPr>
                <w:color w:val="000000"/>
                <w:sz w:val="22"/>
                <w:highlight w:val="white"/>
              </w:rPr>
              <w:t>- Occupational exposure</w:t>
            </w:r>
          </w:p>
          <w:p w:rsidR="002B5EF8" w:rsidRDefault="00C66404">
            <w:pPr>
              <w:spacing w:line="360" w:lineRule="auto"/>
              <w:jc w:val="left"/>
              <w:rPr>
                <w:color w:val="000000"/>
                <w:sz w:val="22"/>
                <w:highlight w:val="white"/>
              </w:rPr>
            </w:pPr>
            <w:r>
              <w:rPr>
                <w:color w:val="000000"/>
                <w:sz w:val="22"/>
                <w:highlight w:val="white"/>
              </w:rPr>
              <w:t>- Healt effects</w:t>
            </w:r>
          </w:p>
          <w:p w:rsidR="002B5EF8" w:rsidRDefault="00C66404">
            <w:pPr>
              <w:spacing w:line="360" w:lineRule="auto"/>
              <w:jc w:val="left"/>
              <w:rPr>
                <w:sz w:val="22"/>
              </w:rPr>
            </w:pPr>
            <w:r>
              <w:rPr>
                <w:color w:val="000000"/>
                <w:sz w:val="22"/>
                <w:highlight w:val="white"/>
              </w:rPr>
              <w:t>- Disease</w:t>
            </w:r>
          </w:p>
        </w:tc>
        <w:tc>
          <w:tcPr>
            <w:tcW w:w="2410" w:type="dxa"/>
            <w:tcBorders>
              <w:top w:val="single" w:sz="4" w:space="0" w:color="000000"/>
              <w:bottom w:val="single" w:sz="4" w:space="0" w:color="000000"/>
            </w:tcBorders>
            <w:shd w:val="clear" w:color="auto" w:fill="auto"/>
            <w:vAlign w:val="center"/>
          </w:tcPr>
          <w:p w:rsidR="002B5EF8" w:rsidRDefault="00C66404">
            <w:pPr>
              <w:spacing w:line="360" w:lineRule="auto"/>
              <w:jc w:val="left"/>
              <w:rPr>
                <w:color w:val="000000"/>
                <w:sz w:val="22"/>
                <w:highlight w:val="white"/>
              </w:rPr>
            </w:pPr>
            <w:r>
              <w:rPr>
                <w:color w:val="000000"/>
                <w:sz w:val="22"/>
                <w:highlight w:val="white"/>
              </w:rPr>
              <w:t>- Farm worker</w:t>
            </w:r>
          </w:p>
          <w:p w:rsidR="002B5EF8" w:rsidRDefault="00C66404">
            <w:pPr>
              <w:spacing w:line="360" w:lineRule="auto"/>
              <w:jc w:val="left"/>
              <w:rPr>
                <w:color w:val="000000"/>
                <w:sz w:val="22"/>
                <w:highlight w:val="white"/>
              </w:rPr>
            </w:pPr>
            <w:r>
              <w:rPr>
                <w:color w:val="000000"/>
                <w:sz w:val="22"/>
                <w:highlight w:val="white"/>
              </w:rPr>
              <w:t>- Agricultural worker</w:t>
            </w:r>
          </w:p>
          <w:p w:rsidR="002B5EF8" w:rsidRDefault="002B5EF8">
            <w:pPr>
              <w:spacing w:line="360" w:lineRule="auto"/>
              <w:jc w:val="left"/>
              <w:rPr>
                <w:sz w:val="22"/>
              </w:rPr>
            </w:pPr>
          </w:p>
        </w:tc>
        <w:tc>
          <w:tcPr>
            <w:tcW w:w="2410" w:type="dxa"/>
            <w:tcBorders>
              <w:top w:val="single" w:sz="4" w:space="0" w:color="000000"/>
              <w:bottom w:val="single" w:sz="4" w:space="0" w:color="000000"/>
            </w:tcBorders>
            <w:shd w:val="clear" w:color="auto" w:fill="auto"/>
            <w:vAlign w:val="center"/>
          </w:tcPr>
          <w:p w:rsidR="002B5EF8" w:rsidRDefault="00C66404">
            <w:pPr>
              <w:spacing w:line="360" w:lineRule="auto"/>
              <w:jc w:val="left"/>
              <w:rPr>
                <w:color w:val="000000"/>
                <w:sz w:val="22"/>
                <w:highlight w:val="white"/>
              </w:rPr>
            </w:pPr>
            <w:r>
              <w:rPr>
                <w:color w:val="000000"/>
                <w:sz w:val="22"/>
                <w:highlight w:val="white"/>
              </w:rPr>
              <w:t>- Glyphosate</w:t>
            </w:r>
          </w:p>
          <w:p w:rsidR="002B5EF8" w:rsidRDefault="00C66404">
            <w:pPr>
              <w:spacing w:line="360" w:lineRule="auto"/>
              <w:jc w:val="left"/>
              <w:rPr>
                <w:color w:val="000000"/>
                <w:sz w:val="22"/>
                <w:highlight w:val="white"/>
              </w:rPr>
            </w:pPr>
            <w:r>
              <w:rPr>
                <w:color w:val="000000"/>
                <w:sz w:val="22"/>
                <w:highlight w:val="white"/>
              </w:rPr>
              <w:t>- Roundup</w:t>
            </w:r>
          </w:p>
          <w:p w:rsidR="002B5EF8" w:rsidRDefault="00C66404">
            <w:pPr>
              <w:spacing w:line="360" w:lineRule="auto"/>
              <w:jc w:val="left"/>
              <w:rPr>
                <w:color w:val="000000"/>
                <w:sz w:val="22"/>
                <w:highlight w:val="white"/>
              </w:rPr>
            </w:pPr>
            <w:r>
              <w:rPr>
                <w:color w:val="000000"/>
                <w:sz w:val="22"/>
                <w:highlight w:val="white"/>
              </w:rPr>
              <w:t>- Herbicide glyphosate</w:t>
            </w:r>
          </w:p>
          <w:p w:rsidR="002B5EF8" w:rsidRDefault="00C66404">
            <w:pPr>
              <w:spacing w:line="360" w:lineRule="auto"/>
              <w:jc w:val="left"/>
              <w:rPr>
                <w:sz w:val="22"/>
              </w:rPr>
            </w:pPr>
            <w:r>
              <w:rPr>
                <w:color w:val="000000"/>
                <w:sz w:val="22"/>
                <w:highlight w:val="white"/>
              </w:rPr>
              <w:t>- Pesticide glyphosate</w:t>
            </w:r>
          </w:p>
        </w:tc>
      </w:tr>
    </w:tbl>
    <w:p w:rsidR="002B5EF8" w:rsidRDefault="002B5EF8"/>
    <w:p w:rsidR="002B5EF8" w:rsidRDefault="00C66404">
      <w:r>
        <w:t>Una vez identificadas las palabras clave, se procedió a interconectar los conceptos por medio de operadores lógicos, comillas y paréntesis, esto para preparar la identificación de la investigación, dando como resultado una ecuación de búsqueda para obtener los artículos que harán parte de la actual investigación. Cabe resaltar que dicha búsqueda se hizo en los idiomas inglés y español, además fue un proceso llevado a cabo sobre productos incluidos por el sistema de indexación Scopus®.</w:t>
      </w:r>
    </w:p>
    <w:p w:rsidR="002B5EF8" w:rsidRDefault="002B5EF8"/>
    <w:p w:rsidR="002B5EF8" w:rsidRDefault="00C66404">
      <w:r>
        <w:t>Ecuación de Búsqueda:</w:t>
      </w:r>
    </w:p>
    <w:tbl>
      <w:tblPr>
        <w:tblStyle w:val="a1"/>
        <w:tblW w:w="8228" w:type="dxa"/>
        <w:tblInd w:w="0" w:type="dxa"/>
        <w:tblBorders>
          <w:top w:val="single" w:sz="4" w:space="0" w:color="666666"/>
          <w:left w:val="single" w:sz="4" w:space="0" w:color="BFBFBF"/>
          <w:bottom w:val="single" w:sz="4" w:space="0" w:color="666666"/>
          <w:right w:val="single" w:sz="4" w:space="0" w:color="BFBFBF"/>
          <w:insideH w:val="single" w:sz="4" w:space="0" w:color="666666"/>
          <w:insideV w:val="single" w:sz="4" w:space="0" w:color="BFBFBF"/>
        </w:tblBorders>
        <w:tblLayout w:type="fixed"/>
        <w:tblLook w:val="04A0" w:firstRow="1" w:lastRow="0" w:firstColumn="1" w:lastColumn="0" w:noHBand="0" w:noVBand="1"/>
      </w:tblPr>
      <w:tblGrid>
        <w:gridCol w:w="8228"/>
      </w:tblGrid>
      <w:tr w:rsidR="002B5EF8" w:rsidTr="002B5EF8">
        <w:trPr>
          <w:cnfStyle w:val="100000000000" w:firstRow="1" w:lastRow="0" w:firstColumn="0" w:lastColumn="0" w:oddVBand="0" w:evenVBand="0" w:oddHBand="0" w:evenHBand="0" w:firstRowFirstColumn="0" w:firstRowLastColumn="0" w:lastRowFirstColumn="0" w:lastRowLastColumn="0"/>
          <w:trHeight w:val="1139"/>
        </w:trPr>
        <w:tc>
          <w:tcPr>
            <w:cnfStyle w:val="001000000000" w:firstRow="0" w:lastRow="0" w:firstColumn="1" w:lastColumn="0" w:oddVBand="0" w:evenVBand="0" w:oddHBand="0" w:evenHBand="0" w:firstRowFirstColumn="0" w:firstRowLastColumn="0" w:lastRowFirstColumn="0" w:lastRowLastColumn="0"/>
            <w:tcW w:w="8228" w:type="dxa"/>
          </w:tcPr>
          <w:p w:rsidR="002B5EF8" w:rsidRDefault="00C66404">
            <w:pPr>
              <w:spacing w:line="360" w:lineRule="auto"/>
              <w:jc w:val="left"/>
              <w:rPr>
                <w:sz w:val="22"/>
              </w:rPr>
            </w:pPr>
            <w:r w:rsidRPr="00C66404">
              <w:rPr>
                <w:b w:val="0"/>
                <w:color w:val="auto"/>
                <w:sz w:val="22"/>
              </w:rPr>
              <w:t>TITLE-ABS-KEY (( "hazard" OR "risk" OR "danger" OR "exposure" ) AND ( "occupational health" OR "occupational exposure" OR "healt effects" OR "disease") AND ("farm worker" OR "agricultural worker") AND ("glyphosate" OR "roundup" OR "herbicided glyphosate" OR  "pesticide glyphosate" ) )</w:t>
            </w:r>
          </w:p>
        </w:tc>
      </w:tr>
    </w:tbl>
    <w:p w:rsidR="002B5EF8" w:rsidRDefault="002B5EF8"/>
    <w:p w:rsidR="002B5EF8" w:rsidRDefault="00C66404">
      <w:pPr>
        <w:rPr>
          <w:b/>
        </w:rPr>
      </w:pPr>
      <w:r>
        <w:t xml:space="preserve">La segunda actividad es la Selección de los estudios y artículos relevantes, en este apartado se procede a evaluar la pertinencia y concordancia de los estudios con el tema de investigación, para esto, se implementan criterios de inclusión y exclusión con el </w:t>
      </w:r>
      <w:r>
        <w:lastRenderedPageBreak/>
        <w:t xml:space="preserve">fin de identificar aquellos artículos que aporten significativamente a la temática expuesta. </w:t>
      </w:r>
    </w:p>
    <w:p w:rsidR="002B5EF8" w:rsidRDefault="00C66404">
      <w:pPr>
        <w:jc w:val="center"/>
        <w:rPr>
          <w:i/>
        </w:rPr>
      </w:pPr>
      <w:bookmarkStart w:id="2" w:name="_heading=h.1fob9te" w:colFirst="0" w:colLast="0"/>
      <w:bookmarkEnd w:id="2"/>
      <w:r>
        <w:rPr>
          <w:b/>
        </w:rPr>
        <w:t>Tabla 2</w:t>
      </w:r>
      <w:r>
        <w:t>.</w:t>
      </w:r>
    </w:p>
    <w:p w:rsidR="002B5EF8" w:rsidRDefault="00C66404">
      <w:pPr>
        <w:jc w:val="center"/>
      </w:pPr>
      <w:r>
        <w:t>Criterios de inclusión y exclusión</w:t>
      </w:r>
    </w:p>
    <w:p w:rsidR="002B5EF8" w:rsidRDefault="002B5EF8">
      <w:pPr>
        <w:jc w:val="center"/>
      </w:pPr>
    </w:p>
    <w:tbl>
      <w:tblPr>
        <w:tblStyle w:val="a2"/>
        <w:tblW w:w="82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4111"/>
      </w:tblGrid>
      <w:tr w:rsidR="002B5EF8">
        <w:trPr>
          <w:trHeight w:val="180"/>
        </w:trPr>
        <w:tc>
          <w:tcPr>
            <w:tcW w:w="4111" w:type="dxa"/>
            <w:tcBorders>
              <w:top w:val="single" w:sz="4" w:space="0" w:color="000000"/>
              <w:left w:val="nil"/>
              <w:bottom w:val="single" w:sz="4" w:space="0" w:color="000000"/>
              <w:right w:val="nil"/>
            </w:tcBorders>
            <w:shd w:val="clear" w:color="auto" w:fill="auto"/>
            <w:vAlign w:val="center"/>
          </w:tcPr>
          <w:p w:rsidR="002B5EF8" w:rsidRDefault="00C66404">
            <w:pPr>
              <w:rPr>
                <w:b/>
              </w:rPr>
            </w:pPr>
            <w:r>
              <w:rPr>
                <w:b/>
              </w:rPr>
              <w:t>Criterios de inclusión</w:t>
            </w:r>
          </w:p>
        </w:tc>
        <w:tc>
          <w:tcPr>
            <w:tcW w:w="4111" w:type="dxa"/>
            <w:tcBorders>
              <w:left w:val="nil"/>
              <w:bottom w:val="single" w:sz="4" w:space="0" w:color="000000"/>
              <w:right w:val="nil"/>
            </w:tcBorders>
            <w:shd w:val="clear" w:color="auto" w:fill="auto"/>
            <w:vAlign w:val="center"/>
          </w:tcPr>
          <w:p w:rsidR="002B5EF8" w:rsidRDefault="00C66404">
            <w:pPr>
              <w:rPr>
                <w:b/>
              </w:rPr>
            </w:pPr>
            <w:r>
              <w:rPr>
                <w:b/>
              </w:rPr>
              <w:t>Criterios de exclusión</w:t>
            </w:r>
          </w:p>
        </w:tc>
      </w:tr>
      <w:tr w:rsidR="002B5EF8">
        <w:tc>
          <w:tcPr>
            <w:tcW w:w="4111" w:type="dxa"/>
            <w:tcBorders>
              <w:top w:val="single" w:sz="4" w:space="0" w:color="000000"/>
              <w:left w:val="nil"/>
              <w:bottom w:val="single" w:sz="4" w:space="0" w:color="000000"/>
              <w:right w:val="nil"/>
            </w:tcBorders>
            <w:shd w:val="clear" w:color="auto" w:fill="auto"/>
          </w:tcPr>
          <w:p w:rsidR="002B5EF8" w:rsidRDefault="00C66404">
            <w:pPr>
              <w:numPr>
                <w:ilvl w:val="0"/>
                <w:numId w:val="5"/>
              </w:numPr>
              <w:ind w:hanging="284"/>
            </w:pPr>
            <w:r>
              <w:t>Tipo de documentos que sean artículos de investigación.</w:t>
            </w:r>
          </w:p>
          <w:p w:rsidR="002B5EF8" w:rsidRDefault="00C66404">
            <w:pPr>
              <w:numPr>
                <w:ilvl w:val="0"/>
                <w:numId w:val="5"/>
              </w:numPr>
              <w:ind w:hanging="284"/>
            </w:pPr>
            <w:r>
              <w:t>Documentos comprendidos entre los años 2015 – 2022</w:t>
            </w:r>
          </w:p>
          <w:p w:rsidR="002B5EF8" w:rsidRDefault="00C66404">
            <w:pPr>
              <w:numPr>
                <w:ilvl w:val="0"/>
                <w:numId w:val="5"/>
              </w:numPr>
              <w:ind w:hanging="284"/>
            </w:pPr>
            <w:r>
              <w:t>Documentos relacionados con los grupos de palabras clave.</w:t>
            </w:r>
          </w:p>
        </w:tc>
        <w:tc>
          <w:tcPr>
            <w:tcW w:w="4111" w:type="dxa"/>
            <w:tcBorders>
              <w:top w:val="single" w:sz="4" w:space="0" w:color="000000"/>
              <w:left w:val="nil"/>
              <w:bottom w:val="single" w:sz="4" w:space="0" w:color="000000"/>
              <w:right w:val="nil"/>
            </w:tcBorders>
            <w:shd w:val="clear" w:color="auto" w:fill="auto"/>
          </w:tcPr>
          <w:p w:rsidR="002B5EF8" w:rsidRDefault="00C66404">
            <w:pPr>
              <w:numPr>
                <w:ilvl w:val="0"/>
                <w:numId w:val="5"/>
              </w:numPr>
              <w:ind w:hanging="284"/>
            </w:pPr>
            <w:r>
              <w:t>Tipo de documento que sean revisiones o aquellos provenientes de literatura gris.</w:t>
            </w:r>
          </w:p>
          <w:p w:rsidR="002B5EF8" w:rsidRDefault="00C66404">
            <w:pPr>
              <w:numPr>
                <w:ilvl w:val="0"/>
                <w:numId w:val="5"/>
              </w:numPr>
              <w:ind w:hanging="284"/>
            </w:pPr>
            <w:r>
              <w:t>Documentos escritos en un idioma diferente al español e inglés.</w:t>
            </w:r>
          </w:p>
          <w:p w:rsidR="002B5EF8" w:rsidRDefault="00C66404">
            <w:pPr>
              <w:numPr>
                <w:ilvl w:val="0"/>
                <w:numId w:val="5"/>
              </w:numPr>
              <w:ind w:hanging="284"/>
            </w:pPr>
            <w:r>
              <w:t>Documentos irrelevantes para el aporte de la pregunta de investigación.</w:t>
            </w:r>
          </w:p>
        </w:tc>
      </w:tr>
    </w:tbl>
    <w:p w:rsidR="002B5EF8" w:rsidRDefault="002B5EF8"/>
    <w:p w:rsidR="002B5EF8" w:rsidRDefault="00C66404">
      <w:r>
        <w:t>A la ecuación de búsqueda expuesta en la Identificación de la investigación, se le incorpora los criterios de inclusión: artículos, años 2015-2022 y el criterio de exclusión; idiomas diferentes al español e inglés, que en este caso es un artículo escrito en ruso, de esta manera, se obtiene la siguiente ecuación de búsqueda final.</w:t>
      </w:r>
    </w:p>
    <w:p w:rsidR="002B5EF8" w:rsidRDefault="002B5EF8"/>
    <w:p w:rsidR="002B5EF8" w:rsidRDefault="00C66404">
      <w:r>
        <w:t>Ecuación de Búsqueda Final:</w:t>
      </w:r>
    </w:p>
    <w:tbl>
      <w:tblPr>
        <w:tblStyle w:val="a3"/>
        <w:tblW w:w="8033" w:type="dxa"/>
        <w:tblInd w:w="0" w:type="dxa"/>
        <w:tblBorders>
          <w:top w:val="single" w:sz="4" w:space="0" w:color="666666"/>
          <w:left w:val="single" w:sz="4" w:space="0" w:color="BFBFBF"/>
          <w:bottom w:val="single" w:sz="4" w:space="0" w:color="666666"/>
          <w:right w:val="single" w:sz="4" w:space="0" w:color="BFBFBF"/>
          <w:insideH w:val="single" w:sz="4" w:space="0" w:color="666666"/>
          <w:insideV w:val="single" w:sz="4" w:space="0" w:color="BFBFBF"/>
        </w:tblBorders>
        <w:tblLayout w:type="fixed"/>
        <w:tblLook w:val="04A0" w:firstRow="1" w:lastRow="0" w:firstColumn="1" w:lastColumn="0" w:noHBand="0" w:noVBand="1"/>
      </w:tblPr>
      <w:tblGrid>
        <w:gridCol w:w="8033"/>
      </w:tblGrid>
      <w:tr w:rsidR="002B5EF8" w:rsidTr="002B5EF8">
        <w:trPr>
          <w:cnfStyle w:val="100000000000" w:firstRow="1" w:lastRow="0" w:firstColumn="0" w:lastColumn="0" w:oddVBand="0" w:evenVBand="0" w:oddHBand="0" w:evenHBand="0" w:firstRowFirstColumn="0" w:firstRowLastColumn="0" w:lastRowFirstColumn="0" w:lastRowLastColumn="0"/>
          <w:trHeight w:val="768"/>
        </w:trPr>
        <w:tc>
          <w:tcPr>
            <w:cnfStyle w:val="001000000000" w:firstRow="0" w:lastRow="0" w:firstColumn="1" w:lastColumn="0" w:oddVBand="0" w:evenVBand="0" w:oddHBand="0" w:evenHBand="0" w:firstRowFirstColumn="0" w:firstRowLastColumn="0" w:lastRowFirstColumn="0" w:lastRowLastColumn="0"/>
            <w:tcW w:w="8033" w:type="dxa"/>
          </w:tcPr>
          <w:p w:rsidR="002B5EF8" w:rsidRDefault="00C66404">
            <w:r w:rsidRPr="00C66404">
              <w:rPr>
                <w:b w:val="0"/>
                <w:color w:val="auto"/>
                <w:sz w:val="22"/>
              </w:rPr>
              <w:t>TITLE-ABS-KEY ( ( "hazard"  OR  "risk"  OR  "danger"  OR  "exposure" )  AND  ( "occupational health"  OR  "occupational exposure"  OR  "healt effects"  OR  "disease" )  AND  ( "farm worker"  OR  "agricultural worker" )  AND  ( "glyphosate"  OR  "roundup"  OR  "herbicided glyphosate"  OR  "pesticide glyphosate" ) )  AND  ( LIMIT-TO ( DOCTYPE ,  "ar" ) )  AND  ( LIMIT-TO ( PUBYEAR ,  2022 )  OR  LIMIT-TO ( PUBYEAR ,  2021 )  OR  LIMIT-TO ( PUBYEAR ,  2020 )  OR  LIMIT-TO ( PUBYEAR ,  2019 )  OR  LIMIT-TO ( PUBYEAR ,  2018 )  OR  LIMIT-TO ( PUBYEAR ,  2017 )  OR  LIMIT-TO ( PUBYEAR ,  2016 )  OR  LIMIT-TO ( PUBYEAR ,  2015 ) )  AND  ( EXCLUDE ( LANGUAGE ,  "Russian" ) )</w:t>
            </w:r>
          </w:p>
        </w:tc>
      </w:tr>
    </w:tbl>
    <w:p w:rsidR="002B5EF8" w:rsidRDefault="002B5EF8">
      <w:pPr>
        <w:rPr>
          <w:sz w:val="22"/>
        </w:rPr>
      </w:pPr>
    </w:p>
    <w:p w:rsidR="002B5EF8" w:rsidRDefault="00C66404">
      <w:pPr>
        <w:spacing w:after="160"/>
        <w:rPr>
          <w:sz w:val="22"/>
        </w:rPr>
      </w:pPr>
      <w:r>
        <w:rPr>
          <w:sz w:val="22"/>
        </w:rPr>
        <w:t xml:space="preserve">Aplicando la ecuación de búsqueda final se obtienen 65 artículos, además </w:t>
      </w:r>
      <w:r>
        <w:t xml:space="preserve">se vinculan 19 artículos haciendo uso del método de bola de nieve, estos artículos (igual que los anteriores), cumplen con los criterios de inclusión y exclusión expuestos en la </w:t>
      </w:r>
      <w:r>
        <w:rPr>
          <w:b/>
        </w:rPr>
        <w:t>tabla 2</w:t>
      </w:r>
      <w:r>
        <w:t>, para un total de 84 artículos, posteriormente se procede a leer dichos artículos para verificar su aporte representativo a la resolución de la pregunta de investigación y de esta manera cumplir con el último criterio  de inclusión (</w:t>
      </w:r>
      <w:r>
        <w:rPr>
          <w:sz w:val="22"/>
        </w:rPr>
        <w:t>Documentos relacionados con los grupos de palabras clave)</w:t>
      </w:r>
      <w:r>
        <w:t xml:space="preserve"> y exclusión (</w:t>
      </w:r>
      <w:r>
        <w:rPr>
          <w:sz w:val="22"/>
        </w:rPr>
        <w:t xml:space="preserve">Documentos irrelevantes para el aporte de la pregunta de investigación), es así que de los 84 artículos el 26% </w:t>
      </w:r>
      <w:r>
        <w:t xml:space="preserve">exponen la temática de los efectos adversos a la salud que produce la exposición ocupacional a pesticidas o </w:t>
      </w:r>
      <w:r>
        <w:lastRenderedPageBreak/>
        <w:t>productos agroquímicos (no hace mención específica del glifosato), el 4% de los artículos totales, relacionan la afectación a la salud con los cónyuges o familiares del trabajador expuesto ocupacionalmente al herbicida</w:t>
      </w:r>
      <w:r>
        <w:rPr>
          <w:sz w:val="22"/>
        </w:rPr>
        <w:t>,</w:t>
      </w:r>
      <w:r>
        <w:t xml:space="preserve"> de igual manera el 2% de los artículos totales hace referencia a los efectos del glifosato en el sector pecuario o en cultivos no alimentarios como el caucho, por último, un grupo de 6 artículos (correspondientes al 7%), clasificados como otros, hace referencia a estudios de nula relevancia para la investigación, puesto que abordan diferentes temas como los efectos del herbicida en los animales (ratas), efectividad de métodos para la identificación de glifosato en orina humana y consecuencias a la salud de los trabajadores de una planta industrial de glifosato, por lo tanto se procede a trabajar con el 61% de los artículos totales (correspondiente a 51 artículos), ya que son investigaciones que aportan significativamente a la investigación, estos artículos exponen los posibles efectos sobre la salud de los agricultores por exposición ocupacional a glifosato, herbicida utilizado en la erradicación de arvenses en cultivos alimenticios.</w:t>
      </w:r>
      <w:r>
        <w:rPr>
          <w:sz w:val="22"/>
        </w:rPr>
        <w:t xml:space="preserve"> </w:t>
      </w:r>
    </w:p>
    <w:p w:rsidR="002B5EF8" w:rsidRDefault="00C66404">
      <w:pPr>
        <w:spacing w:after="160"/>
        <w:rPr>
          <w:sz w:val="22"/>
        </w:rPr>
      </w:pPr>
      <w:r>
        <w:rPr>
          <w:sz w:val="22"/>
        </w:rPr>
        <w:t>La tercera y última actividad es la Extracción, seguimiento y síntesis de los datos, una vez delimitados los criterios de selección, se establecen las pautas de extracción de información de los 51 artículos, determinándose sintetizar por cada artículo los siguientes elementos: Título del artículo, Resumen (abstract), Objetivo de la investigación y Aportes del documento respecto a la exposición ocupacional al glifosato. De esta forma se pretende realizar la correspondiente extracción y síntesis de los datos para así aportar sustancialmente al proyecto en desarrollo</w:t>
      </w:r>
    </w:p>
    <w:p w:rsidR="002B5EF8" w:rsidRDefault="00C66404">
      <w:r>
        <w:rPr>
          <w:b/>
        </w:rPr>
        <w:t>Etapa III: Reporte y difusión</w:t>
      </w:r>
      <w:r>
        <w:t xml:space="preserve"> </w:t>
      </w:r>
    </w:p>
    <w:p w:rsidR="002B5EF8" w:rsidRDefault="00C66404">
      <w:pPr>
        <w:spacing w:after="160"/>
      </w:pPr>
      <w:r>
        <w:t xml:space="preserve">La revisión sistemática, converge con la realización del estado del arte, este surge a partir del análisis de los artículos seleccionados que conducen a la resolución de la pregunta de investigación, de esta manera se cumple el objetivo final de esta investigación, formar una sinergia estructurada de información para elaborar y difundir un artículo de carácter publicable con los resultados obtenidos en este trabajo de investigación, el cual es el presente artículo. </w:t>
      </w:r>
    </w:p>
    <w:p w:rsidR="002B5EF8" w:rsidRDefault="00C66404">
      <w:pPr>
        <w:pStyle w:val="Ttulo1"/>
        <w:numPr>
          <w:ilvl w:val="0"/>
          <w:numId w:val="4"/>
        </w:numPr>
      </w:pPr>
      <w:r>
        <w:t xml:space="preserve">Resultados </w:t>
      </w:r>
    </w:p>
    <w:p w:rsidR="002B5EF8" w:rsidRDefault="00C66404">
      <w:r>
        <w:t>Los resultados de la investigación fueron clasificados en un análisis bibliométrico de la literatura y una revisión general de la literatura</w:t>
      </w:r>
    </w:p>
    <w:p w:rsidR="002B5EF8" w:rsidRDefault="002B5EF8"/>
    <w:p w:rsidR="002B5EF8" w:rsidRDefault="00C66404">
      <w:pPr>
        <w:numPr>
          <w:ilvl w:val="1"/>
          <w:numId w:val="4"/>
        </w:numPr>
        <w:pBdr>
          <w:top w:val="nil"/>
          <w:left w:val="nil"/>
          <w:bottom w:val="nil"/>
          <w:right w:val="nil"/>
          <w:between w:val="nil"/>
        </w:pBdr>
        <w:spacing w:before="0" w:after="0"/>
        <w:rPr>
          <w:b/>
          <w:color w:val="000000"/>
          <w:szCs w:val="24"/>
        </w:rPr>
      </w:pPr>
      <w:r>
        <w:rPr>
          <w:b/>
          <w:color w:val="000000"/>
          <w:szCs w:val="24"/>
        </w:rPr>
        <w:t>Análisis Bibliométrico</w:t>
      </w:r>
    </w:p>
    <w:p w:rsidR="002B5EF8" w:rsidRDefault="00C66404">
      <w:pPr>
        <w:rPr>
          <w:b/>
          <w:color w:val="000000"/>
        </w:rPr>
      </w:pPr>
      <w:r>
        <w:t>El análisis bibliométrico se realiza a los 51</w:t>
      </w:r>
      <w:r>
        <w:t xml:space="preserve">‬ artículos en el software Microsoft Excel (elaboración propia de las autoras). Se ejecuta en la ventana de tiempo 2015-2022 y con </w:t>
      </w:r>
      <w:r>
        <w:rPr>
          <w:color w:val="000000"/>
        </w:rPr>
        <w:t>los criterios iniciales implicados en la ecuación de búsqueda. Esto permite visualizar mejor el panorama de manera cuantitativa en la tendencia de la literatura, considerando algunos factores que agregan valor a la producción científica en la investigación.</w:t>
      </w:r>
    </w:p>
    <w:p w:rsidR="002B5EF8" w:rsidRDefault="00C66404">
      <w:pPr>
        <w:pBdr>
          <w:top w:val="nil"/>
          <w:left w:val="nil"/>
          <w:bottom w:val="nil"/>
          <w:right w:val="nil"/>
          <w:between w:val="nil"/>
        </w:pBdr>
        <w:tabs>
          <w:tab w:val="left" w:pos="4060"/>
        </w:tabs>
        <w:spacing w:before="0" w:after="0"/>
        <w:rPr>
          <w:color w:val="000000"/>
          <w:szCs w:val="24"/>
        </w:rPr>
      </w:pPr>
      <w:r>
        <w:rPr>
          <w:color w:val="000000"/>
          <w:szCs w:val="24"/>
        </w:rPr>
        <w:t xml:space="preserve">En la Figura 2 se observar que a partir del año 2017 se muestra una tendencia en el aumento de la literatura, alcanzando el tope máximo en el 2019, sin embargo, a partir del mismo año la tendencia se muestra descendente, esto como consecuencia a que el principal tema de investigación fue la exposición ocupacional a riesgos biológicos (Covid-19), de esta manera el riesgo químico pasó a ser antagonista en los temas </w:t>
      </w:r>
      <w:r>
        <w:rPr>
          <w:color w:val="000000"/>
          <w:szCs w:val="24"/>
        </w:rPr>
        <w:lastRenderedPageBreak/>
        <w:t>investigativos, aun así, la cantidad de artículos publicados en el 2020 se mantuvo constante para el 2021. En el transcurso del primer semestre del 2022 se han publicado 3 artículos, lo que permite inferir que hay interés en la comunidad investigativa sobre el tema de la presente investigación.</w:t>
      </w:r>
    </w:p>
    <w:p w:rsidR="002B5EF8" w:rsidRDefault="002B5EF8">
      <w:pPr>
        <w:pBdr>
          <w:top w:val="nil"/>
          <w:left w:val="nil"/>
          <w:bottom w:val="nil"/>
          <w:right w:val="nil"/>
          <w:between w:val="nil"/>
        </w:pBdr>
        <w:tabs>
          <w:tab w:val="left" w:pos="4060"/>
        </w:tabs>
        <w:spacing w:before="0" w:after="0"/>
        <w:rPr>
          <w:color w:val="000000"/>
          <w:szCs w:val="24"/>
        </w:rPr>
      </w:pPr>
    </w:p>
    <w:p w:rsidR="002B5EF8" w:rsidRDefault="00C66404">
      <w:pPr>
        <w:pBdr>
          <w:top w:val="nil"/>
          <w:left w:val="nil"/>
          <w:bottom w:val="nil"/>
          <w:right w:val="nil"/>
          <w:between w:val="nil"/>
        </w:pBdr>
        <w:jc w:val="center"/>
        <w:rPr>
          <w:b/>
          <w:color w:val="000000"/>
          <w:szCs w:val="24"/>
        </w:rPr>
      </w:pPr>
      <w:r>
        <w:rPr>
          <w:b/>
          <w:color w:val="000000"/>
          <w:szCs w:val="24"/>
        </w:rPr>
        <w:t>Figura 2</w:t>
      </w:r>
    </w:p>
    <w:p w:rsidR="002B5EF8" w:rsidRDefault="00C66404">
      <w:pPr>
        <w:jc w:val="center"/>
      </w:pPr>
      <w:r>
        <w:t>Artículos Publicados por Año</w:t>
      </w:r>
    </w:p>
    <w:p w:rsidR="002B5EF8" w:rsidRDefault="00C66404">
      <w:pPr>
        <w:widowControl w:val="0"/>
        <w:pBdr>
          <w:top w:val="nil"/>
          <w:left w:val="nil"/>
          <w:bottom w:val="nil"/>
          <w:right w:val="nil"/>
          <w:between w:val="nil"/>
        </w:pBdr>
        <w:spacing w:before="0" w:after="0"/>
        <w:ind w:left="720" w:right="101"/>
        <w:rPr>
          <w:color w:val="000000"/>
          <w:szCs w:val="24"/>
        </w:rPr>
      </w:pPr>
      <w:r>
        <w:rPr>
          <w:color w:val="000000"/>
          <w:szCs w:val="24"/>
        </w:rPr>
        <w:t xml:space="preserve">. </w:t>
      </w:r>
      <w:r>
        <w:rPr>
          <w:noProof/>
          <w:color w:val="000000"/>
          <w:szCs w:val="24"/>
          <w:lang w:eastAsia="es-CO" w:bidi="ar-SA"/>
        </w:rPr>
        <w:drawing>
          <wp:inline distT="0" distB="0" distL="0" distR="0">
            <wp:extent cx="4290060" cy="2476500"/>
            <wp:effectExtent l="0" t="0" r="0" b="0"/>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color w:val="000000"/>
          <w:szCs w:val="24"/>
        </w:rPr>
        <w:t>.</w:t>
      </w:r>
    </w:p>
    <w:p w:rsidR="002B5EF8" w:rsidRDefault="00C66404">
      <w:r>
        <w:t>En la Figura 3, se puede identificar a los once primeros autores que sobresalen por su productividad y su aporte en el tema de investigación, en primer lugar, con 6 publicaciones se encuentra Beane-Freeman, Laura E. dicha investigadora pertenece al Instituto Nacional del Cáncer (NCI), su enfoque es la investigación del riesgo del cáncer en entornos agrícolas producto de la exposición ocupacional y ambiental, por lo tanto, ha estado investigando sobre los efectos cancerígenos del glifosato en especial en los trabajadores agrícolas estadounidenses, cabe resaltar que en el presente análisis bibliométrico se identificó que los países destacados por poseer el mayor número de producción científica en cuanto al tema de investigación son: Estados Unidos (28), Brasil (8) y Tailandia (5); con respecto a Estados Unidos, se destaca la amplia implementación del glifosato para el mantenimiento de cultivos, en cuanto a Brasil se resalta sus grandes inversiones para la adquisición de pesticidas, siendo en Latinoamérica el país que más gasta dinero para este tipo de químicos, finalmente respecto a Tailandia se puede enfatizar el amplio interés de los investigadores del país por determinar los efectos adversos del glifosato, dado el amplio uso y aplicación por parte de la comunidad agrícola para el cuidado de los cultivos en el campo.</w:t>
      </w:r>
    </w:p>
    <w:p w:rsidR="002B5EF8" w:rsidRDefault="00C66404">
      <w:pPr>
        <w:pBdr>
          <w:top w:val="nil"/>
          <w:left w:val="nil"/>
          <w:bottom w:val="nil"/>
          <w:right w:val="nil"/>
          <w:between w:val="nil"/>
        </w:pBdr>
        <w:jc w:val="center"/>
        <w:rPr>
          <w:b/>
          <w:color w:val="000000"/>
          <w:szCs w:val="24"/>
        </w:rPr>
      </w:pPr>
      <w:r>
        <w:rPr>
          <w:b/>
          <w:color w:val="000000"/>
          <w:szCs w:val="24"/>
        </w:rPr>
        <w:t>Figura 3</w:t>
      </w:r>
    </w:p>
    <w:p w:rsidR="002B5EF8" w:rsidRDefault="00C66404">
      <w:pPr>
        <w:jc w:val="center"/>
      </w:pPr>
      <w:r>
        <w:lastRenderedPageBreak/>
        <w:t>Artículos Publicados por Autor</w:t>
      </w:r>
      <w:r>
        <w:rPr>
          <w:noProof/>
          <w:lang w:eastAsia="es-CO" w:bidi="ar-SA"/>
        </w:rPr>
        <w:drawing>
          <wp:inline distT="0" distB="0" distL="0" distR="0">
            <wp:extent cx="4282440" cy="2209800"/>
            <wp:effectExtent l="0" t="0" r="0" b="0"/>
            <wp:docPr id="6"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B5EF8" w:rsidRDefault="00C66404">
      <w:pPr>
        <w:pStyle w:val="Ttulo2"/>
        <w:numPr>
          <w:ilvl w:val="1"/>
          <w:numId w:val="4"/>
        </w:numPr>
      </w:pPr>
      <w:r>
        <w:t xml:space="preserve">Análisis general de la Revisión </w:t>
      </w:r>
    </w:p>
    <w:p w:rsidR="002B5EF8" w:rsidRDefault="00C66404">
      <w:r>
        <w:t xml:space="preserve">En las investigaciones evaluadas, se identifica un gran número de enfermedades ocasionadas por la exposición al ingrediente activo del herbicida Glifosato. A continuación, se presentan los hallazgos de la revisión de literatura sobre los 51 artículos seleccionados, con el fin de dar respuesta a la pregunta de investigación planteada. Adicionalmente, se presentan aportes y planteamientos con los que se pueden hacer comparaciones y ratificaciones respecto a investigaciones anteriores. En la tabla 3 se observa la literatura evaluada y la afectación que cada una identifica como consecuencia de la exposición ocupacional al glifosato.  </w:t>
      </w:r>
    </w:p>
    <w:p w:rsidR="002B5EF8" w:rsidRDefault="00C66404">
      <w:pPr>
        <w:spacing w:before="0" w:after="160" w:line="360" w:lineRule="auto"/>
        <w:ind w:left="-142"/>
        <w:jc w:val="center"/>
        <w:rPr>
          <w:b/>
          <w:sz w:val="22"/>
        </w:rPr>
      </w:pPr>
      <w:r>
        <w:rPr>
          <w:b/>
          <w:sz w:val="22"/>
        </w:rPr>
        <w:t>Tabla 3</w:t>
      </w:r>
    </w:p>
    <w:p w:rsidR="002B5EF8" w:rsidRDefault="00C66404">
      <w:pPr>
        <w:spacing w:before="0" w:after="160" w:line="360" w:lineRule="auto"/>
        <w:ind w:left="-142"/>
        <w:jc w:val="center"/>
        <w:rPr>
          <w:sz w:val="22"/>
        </w:rPr>
      </w:pPr>
      <w:r>
        <w:rPr>
          <w:sz w:val="22"/>
        </w:rPr>
        <w:t>Afectaciones del glifosato en la salud según cada artículo</w:t>
      </w:r>
    </w:p>
    <w:tbl>
      <w:tblPr>
        <w:tblW w:w="8033" w:type="dxa"/>
        <w:jc w:val="center"/>
        <w:tblCellMar>
          <w:left w:w="70" w:type="dxa"/>
          <w:right w:w="70" w:type="dxa"/>
        </w:tblCellMar>
        <w:tblLook w:val="04A0" w:firstRow="1" w:lastRow="0" w:firstColumn="1" w:lastColumn="0" w:noHBand="0" w:noVBand="1"/>
      </w:tblPr>
      <w:tblGrid>
        <w:gridCol w:w="5387"/>
        <w:gridCol w:w="2646"/>
      </w:tblGrid>
      <w:tr w:rsidR="00C66404" w:rsidRPr="00C66404" w:rsidTr="00F95CBD">
        <w:trPr>
          <w:trHeight w:val="570"/>
          <w:jc w:val="center"/>
        </w:trPr>
        <w:tc>
          <w:tcPr>
            <w:tcW w:w="5387" w:type="dxa"/>
            <w:tcBorders>
              <w:top w:val="single" w:sz="4" w:space="0" w:color="auto"/>
              <w:left w:val="nil"/>
              <w:bottom w:val="single" w:sz="4" w:space="0" w:color="auto"/>
              <w:right w:val="nil"/>
            </w:tcBorders>
            <w:shd w:val="clear" w:color="auto" w:fill="auto"/>
            <w:noWrap/>
            <w:vAlign w:val="center"/>
            <w:hideMark/>
          </w:tcPr>
          <w:p w:rsidR="00C66404" w:rsidRPr="00C66404" w:rsidRDefault="00C66404" w:rsidP="00C66404">
            <w:pPr>
              <w:spacing w:before="0" w:after="0"/>
              <w:jc w:val="center"/>
              <w:rPr>
                <w:b/>
                <w:bCs/>
                <w:color w:val="000000"/>
                <w:sz w:val="22"/>
                <w:lang w:eastAsia="es-CO" w:bidi="ar-SA"/>
              </w:rPr>
            </w:pPr>
            <w:r w:rsidRPr="00C66404">
              <w:rPr>
                <w:b/>
                <w:bCs/>
                <w:color w:val="000000"/>
                <w:sz w:val="22"/>
                <w:lang w:eastAsia="es-CO" w:bidi="ar-SA"/>
              </w:rPr>
              <w:t>Autores</w:t>
            </w:r>
          </w:p>
        </w:tc>
        <w:tc>
          <w:tcPr>
            <w:tcW w:w="2646" w:type="dxa"/>
            <w:tcBorders>
              <w:top w:val="single" w:sz="4" w:space="0" w:color="auto"/>
              <w:left w:val="nil"/>
              <w:bottom w:val="single" w:sz="4" w:space="0" w:color="auto"/>
              <w:right w:val="nil"/>
            </w:tcBorders>
            <w:shd w:val="clear" w:color="auto" w:fill="auto"/>
            <w:vAlign w:val="center"/>
            <w:hideMark/>
          </w:tcPr>
          <w:p w:rsidR="00C66404" w:rsidRPr="00C66404" w:rsidRDefault="00C66404" w:rsidP="00C66404">
            <w:pPr>
              <w:spacing w:before="0" w:after="0"/>
              <w:jc w:val="center"/>
              <w:rPr>
                <w:b/>
                <w:bCs/>
                <w:color w:val="000000"/>
                <w:sz w:val="22"/>
                <w:lang w:eastAsia="es-CO" w:bidi="ar-SA"/>
              </w:rPr>
            </w:pPr>
            <w:r w:rsidRPr="00C66404">
              <w:rPr>
                <w:b/>
                <w:bCs/>
                <w:color w:val="000000"/>
                <w:sz w:val="22"/>
                <w:lang w:eastAsia="es-CO" w:bidi="ar-SA"/>
              </w:rPr>
              <w:t>Afectación  en la Salud</w:t>
            </w:r>
          </w:p>
        </w:tc>
      </w:tr>
      <w:tr w:rsidR="00C66404" w:rsidRPr="00C66404" w:rsidTr="00F95CBD">
        <w:trPr>
          <w:trHeight w:val="600"/>
          <w:jc w:val="center"/>
        </w:trPr>
        <w:tc>
          <w:tcPr>
            <w:tcW w:w="5387" w:type="dxa"/>
            <w:tcBorders>
              <w:top w:val="single" w:sz="4" w:space="0" w:color="auto"/>
              <w:left w:val="nil"/>
              <w:bottom w:val="nil"/>
              <w:right w:val="nil"/>
            </w:tcBorders>
            <w:shd w:val="clear" w:color="auto" w:fill="F2F2F2"/>
            <w:vAlign w:val="center"/>
            <w:hideMark/>
          </w:tcPr>
          <w:p w:rsidR="00C66404" w:rsidRPr="00C66404" w:rsidRDefault="00C66404" w:rsidP="00C66404">
            <w:pPr>
              <w:spacing w:before="0" w:after="0"/>
              <w:jc w:val="left"/>
              <w:rPr>
                <w:color w:val="000000"/>
                <w:sz w:val="22"/>
                <w:lang w:eastAsia="es-CO" w:bidi="ar-SA"/>
              </w:rPr>
            </w:pPr>
            <w:r w:rsidRPr="00C66404">
              <w:rPr>
                <w:color w:val="000000"/>
                <w:sz w:val="22"/>
                <w:lang w:eastAsia="es-CO" w:bidi="ar-SA"/>
              </w:rPr>
              <w:t>*Seneff, S. *Swanson, N. *Li, C.</w:t>
            </w:r>
          </w:p>
        </w:tc>
        <w:tc>
          <w:tcPr>
            <w:tcW w:w="2646" w:type="dxa"/>
            <w:tcBorders>
              <w:top w:val="single" w:sz="4" w:space="0" w:color="auto"/>
              <w:left w:val="nil"/>
              <w:bottom w:val="nil"/>
              <w:right w:val="nil"/>
            </w:tcBorders>
            <w:shd w:val="clear" w:color="auto" w:fill="F2F2F2"/>
            <w:vAlign w:val="center"/>
            <w:hideMark/>
          </w:tcPr>
          <w:p w:rsidR="00C66404" w:rsidRPr="00C66404" w:rsidRDefault="00C66404" w:rsidP="00C66404">
            <w:pPr>
              <w:spacing w:before="0" w:after="0"/>
              <w:jc w:val="left"/>
              <w:rPr>
                <w:color w:val="000000"/>
                <w:sz w:val="22"/>
                <w:lang w:eastAsia="es-CO" w:bidi="ar-SA"/>
              </w:rPr>
            </w:pPr>
            <w:r w:rsidRPr="00C66404">
              <w:rPr>
                <w:color w:val="000000"/>
                <w:sz w:val="22"/>
                <w:lang w:eastAsia="es-CO" w:bidi="ar-SA"/>
              </w:rPr>
              <w:t xml:space="preserve">-Trastorno del espectro Autista </w:t>
            </w:r>
            <w:r w:rsidRPr="00C66404">
              <w:rPr>
                <w:color w:val="000000"/>
                <w:sz w:val="22"/>
                <w:lang w:eastAsia="es-CO" w:bidi="ar-SA"/>
              </w:rPr>
              <w:br/>
              <w:t>- Trastorno del sueño</w:t>
            </w:r>
          </w:p>
        </w:tc>
      </w:tr>
      <w:tr w:rsidR="00C66404" w:rsidRPr="00C66404" w:rsidTr="00F95CBD">
        <w:trPr>
          <w:trHeight w:val="1200"/>
          <w:jc w:val="center"/>
        </w:trPr>
        <w:tc>
          <w:tcPr>
            <w:tcW w:w="5387" w:type="dxa"/>
            <w:tcBorders>
              <w:top w:val="nil"/>
              <w:left w:val="nil"/>
              <w:bottom w:val="nil"/>
              <w:right w:val="nil"/>
            </w:tcBorders>
            <w:shd w:val="clear" w:color="auto" w:fill="auto"/>
            <w:vAlign w:val="center"/>
            <w:hideMark/>
          </w:tcPr>
          <w:p w:rsidR="00C66404" w:rsidRPr="00C66404" w:rsidRDefault="00047C9F" w:rsidP="00047C9F">
            <w:pPr>
              <w:spacing w:before="0" w:after="0"/>
              <w:jc w:val="left"/>
              <w:rPr>
                <w:color w:val="000000"/>
                <w:sz w:val="22"/>
                <w:lang w:eastAsia="es-CO" w:bidi="ar-SA"/>
              </w:rPr>
            </w:pPr>
            <w:r w:rsidRPr="00047C9F">
              <w:rPr>
                <w:color w:val="000000"/>
                <w:sz w:val="22"/>
                <w:lang w:eastAsia="es-CO" w:bidi="ar-SA"/>
              </w:rPr>
              <w:t xml:space="preserve">*Jayasumana, C. </w:t>
            </w:r>
            <w:r w:rsidR="00C66404" w:rsidRPr="00C66404">
              <w:rPr>
                <w:color w:val="000000"/>
                <w:sz w:val="22"/>
                <w:lang w:eastAsia="es-CO" w:bidi="ar-SA"/>
              </w:rPr>
              <w:t>*Amarasinghe, M. *Fernando, A. *Fonseka, S. *Gunatilake, S. *Jayalath, K. *Paranagama, P. *Siribaddana, S.</w:t>
            </w:r>
          </w:p>
        </w:tc>
        <w:tc>
          <w:tcPr>
            <w:tcW w:w="2646" w:type="dxa"/>
            <w:tcBorders>
              <w:top w:val="nil"/>
              <w:left w:val="nil"/>
              <w:bottom w:val="nil"/>
              <w:right w:val="nil"/>
            </w:tcBorders>
            <w:shd w:val="clear" w:color="000000" w:fill="FFFFFF"/>
            <w:vAlign w:val="center"/>
            <w:hideMark/>
          </w:tcPr>
          <w:p w:rsidR="00C66404" w:rsidRPr="00C66404" w:rsidRDefault="00C66404" w:rsidP="00C66404">
            <w:pPr>
              <w:spacing w:before="0" w:after="0"/>
              <w:jc w:val="left"/>
              <w:rPr>
                <w:color w:val="000000"/>
                <w:sz w:val="22"/>
                <w:lang w:eastAsia="es-CO" w:bidi="ar-SA"/>
              </w:rPr>
            </w:pPr>
            <w:r w:rsidRPr="00C66404">
              <w:rPr>
                <w:color w:val="000000"/>
                <w:sz w:val="22"/>
                <w:lang w:eastAsia="es-CO" w:bidi="ar-SA"/>
              </w:rPr>
              <w:t>- Enfermedad Renal Crónica de origen desconocido (CKDu)</w:t>
            </w:r>
          </w:p>
        </w:tc>
      </w:tr>
      <w:tr w:rsidR="00C66404" w:rsidRPr="00C66404" w:rsidTr="00F95CBD">
        <w:trPr>
          <w:trHeight w:val="900"/>
          <w:jc w:val="center"/>
        </w:trPr>
        <w:tc>
          <w:tcPr>
            <w:tcW w:w="5387" w:type="dxa"/>
            <w:tcBorders>
              <w:top w:val="nil"/>
              <w:left w:val="nil"/>
              <w:bottom w:val="nil"/>
              <w:right w:val="nil"/>
            </w:tcBorders>
            <w:shd w:val="clear" w:color="auto" w:fill="F2F2F2"/>
            <w:vAlign w:val="center"/>
            <w:hideMark/>
          </w:tcPr>
          <w:p w:rsidR="00C66404" w:rsidRPr="00C66404" w:rsidRDefault="00C66404" w:rsidP="00C66404">
            <w:pPr>
              <w:spacing w:before="0" w:after="0"/>
              <w:jc w:val="left"/>
              <w:rPr>
                <w:color w:val="000000"/>
                <w:sz w:val="22"/>
                <w:lang w:eastAsia="es-CO" w:bidi="ar-SA"/>
              </w:rPr>
            </w:pPr>
            <w:r w:rsidRPr="00C66404">
              <w:rPr>
                <w:color w:val="000000"/>
                <w:sz w:val="22"/>
                <w:lang w:eastAsia="es-CO" w:bidi="ar-SA"/>
              </w:rPr>
              <w:t>*</w:t>
            </w:r>
            <w:r w:rsidR="0093223A">
              <w:rPr>
                <w:color w:val="000000"/>
                <w:sz w:val="22"/>
                <w:lang w:eastAsia="es-CO" w:bidi="ar-SA"/>
              </w:rPr>
              <w:t xml:space="preserve">Jayasumana, C. </w:t>
            </w:r>
            <w:r w:rsidRPr="00C66404">
              <w:rPr>
                <w:color w:val="000000"/>
                <w:sz w:val="22"/>
                <w:lang w:eastAsia="es-CO" w:bidi="ar-SA"/>
              </w:rPr>
              <w:t xml:space="preserve">Agampodi, S. </w:t>
            </w:r>
            <w:r w:rsidR="0093223A">
              <w:rPr>
                <w:color w:val="000000"/>
                <w:sz w:val="22"/>
                <w:lang w:eastAsia="es-CO" w:bidi="ar-SA"/>
              </w:rPr>
              <w:t xml:space="preserve">*Gunatilake, S. </w:t>
            </w:r>
            <w:r w:rsidRPr="00C66404">
              <w:rPr>
                <w:color w:val="000000"/>
                <w:sz w:val="22"/>
                <w:lang w:eastAsia="es-CO" w:bidi="ar-SA"/>
              </w:rPr>
              <w:t>*Paranagama, P. *Siribaddana, S. *Wijewardane, C.</w:t>
            </w:r>
          </w:p>
        </w:tc>
        <w:tc>
          <w:tcPr>
            <w:tcW w:w="2646" w:type="dxa"/>
            <w:tcBorders>
              <w:top w:val="nil"/>
              <w:left w:val="nil"/>
              <w:bottom w:val="nil"/>
              <w:right w:val="nil"/>
            </w:tcBorders>
            <w:shd w:val="clear" w:color="auto" w:fill="F2F2F2"/>
            <w:noWrap/>
            <w:vAlign w:val="center"/>
            <w:hideMark/>
          </w:tcPr>
          <w:p w:rsidR="00C66404" w:rsidRPr="00C66404" w:rsidRDefault="00C66404" w:rsidP="00C66404">
            <w:pPr>
              <w:spacing w:before="0" w:after="0"/>
              <w:jc w:val="left"/>
              <w:rPr>
                <w:color w:val="000000"/>
                <w:sz w:val="22"/>
                <w:lang w:eastAsia="es-CO" w:bidi="ar-SA"/>
              </w:rPr>
            </w:pPr>
            <w:r w:rsidRPr="00C66404">
              <w:rPr>
                <w:color w:val="000000"/>
                <w:sz w:val="22"/>
                <w:lang w:eastAsia="es-CO" w:bidi="ar-SA"/>
              </w:rPr>
              <w:t>- Enfermedad renal Crónica</w:t>
            </w:r>
          </w:p>
        </w:tc>
      </w:tr>
      <w:tr w:rsidR="00C66404" w:rsidRPr="00C66404" w:rsidTr="00F95CBD">
        <w:trPr>
          <w:trHeight w:val="600"/>
          <w:jc w:val="center"/>
        </w:trPr>
        <w:tc>
          <w:tcPr>
            <w:tcW w:w="5387" w:type="dxa"/>
            <w:tcBorders>
              <w:top w:val="nil"/>
              <w:left w:val="nil"/>
              <w:right w:val="nil"/>
            </w:tcBorders>
            <w:shd w:val="clear" w:color="auto" w:fill="auto"/>
            <w:vAlign w:val="center"/>
            <w:hideMark/>
          </w:tcPr>
          <w:p w:rsidR="00C66404" w:rsidRPr="00C66404" w:rsidRDefault="00C66404" w:rsidP="00C66404">
            <w:pPr>
              <w:spacing w:before="0" w:after="0"/>
              <w:jc w:val="left"/>
              <w:rPr>
                <w:color w:val="000000"/>
                <w:sz w:val="22"/>
                <w:lang w:eastAsia="es-CO" w:bidi="ar-SA"/>
              </w:rPr>
            </w:pPr>
            <w:r w:rsidRPr="00C66404">
              <w:rPr>
                <w:color w:val="000000"/>
                <w:sz w:val="22"/>
                <w:lang w:eastAsia="es-CO" w:bidi="ar-SA"/>
              </w:rPr>
              <w:t>*Jayasumana, C. *Siribaddana, S.</w:t>
            </w:r>
            <w:r w:rsidR="0093223A">
              <w:rPr>
                <w:color w:val="000000"/>
                <w:sz w:val="22"/>
                <w:lang w:eastAsia="es-CO" w:bidi="ar-SA"/>
              </w:rPr>
              <w:t xml:space="preserve"> *Gunatilake, S.</w:t>
            </w:r>
          </w:p>
        </w:tc>
        <w:tc>
          <w:tcPr>
            <w:tcW w:w="2646" w:type="dxa"/>
            <w:tcBorders>
              <w:top w:val="nil"/>
              <w:left w:val="nil"/>
              <w:right w:val="nil"/>
            </w:tcBorders>
            <w:shd w:val="clear" w:color="000000" w:fill="FFFFFF"/>
            <w:vAlign w:val="center"/>
            <w:hideMark/>
          </w:tcPr>
          <w:p w:rsidR="00C66404" w:rsidRPr="00C66404" w:rsidRDefault="00C66404" w:rsidP="00C66404">
            <w:pPr>
              <w:spacing w:before="0" w:after="0"/>
              <w:jc w:val="left"/>
              <w:rPr>
                <w:color w:val="000000"/>
                <w:sz w:val="22"/>
                <w:lang w:eastAsia="es-CO" w:bidi="ar-SA"/>
              </w:rPr>
            </w:pPr>
            <w:r w:rsidRPr="00C66404">
              <w:rPr>
                <w:color w:val="000000"/>
                <w:sz w:val="22"/>
                <w:lang w:eastAsia="es-CO" w:bidi="ar-SA"/>
              </w:rPr>
              <w:t>- Nefropatía de tipo tubulointersticial</w:t>
            </w:r>
            <w:r w:rsidRPr="00C66404">
              <w:rPr>
                <w:color w:val="000000"/>
                <w:sz w:val="22"/>
                <w:lang w:eastAsia="es-CO" w:bidi="ar-SA"/>
              </w:rPr>
              <w:br/>
              <w:t xml:space="preserve"> (Nefrititis Tubulointersticial)</w:t>
            </w:r>
          </w:p>
        </w:tc>
      </w:tr>
      <w:tr w:rsidR="00C66404" w:rsidRPr="00C66404" w:rsidTr="00F95CBD">
        <w:trPr>
          <w:trHeight w:val="900"/>
          <w:jc w:val="center"/>
        </w:trPr>
        <w:tc>
          <w:tcPr>
            <w:tcW w:w="5387" w:type="dxa"/>
            <w:tcBorders>
              <w:top w:val="nil"/>
              <w:left w:val="nil"/>
              <w:bottom w:val="single" w:sz="4" w:space="0" w:color="auto"/>
              <w:right w:val="nil"/>
            </w:tcBorders>
            <w:shd w:val="clear" w:color="auto" w:fill="F2F2F2"/>
            <w:vAlign w:val="center"/>
            <w:hideMark/>
          </w:tcPr>
          <w:p w:rsidR="00C66404" w:rsidRPr="00C66404" w:rsidRDefault="00C66404" w:rsidP="00C66404">
            <w:pPr>
              <w:spacing w:before="0" w:after="0"/>
              <w:jc w:val="left"/>
              <w:rPr>
                <w:color w:val="000000"/>
                <w:sz w:val="22"/>
                <w:lang w:eastAsia="es-CO" w:bidi="ar-SA"/>
              </w:rPr>
            </w:pPr>
            <w:r w:rsidRPr="00C66404">
              <w:rPr>
                <w:color w:val="000000"/>
                <w:sz w:val="22"/>
                <w:lang w:eastAsia="es-CO" w:bidi="ar-SA"/>
              </w:rPr>
              <w:t>*Fortes, C. *Mastroeni, S. *Segatto, M. *Hohmann, C. *Miligi, L. *Bakos, L. *Bonamigo, R.</w:t>
            </w:r>
          </w:p>
        </w:tc>
        <w:tc>
          <w:tcPr>
            <w:tcW w:w="2646" w:type="dxa"/>
            <w:tcBorders>
              <w:top w:val="nil"/>
              <w:left w:val="nil"/>
              <w:bottom w:val="single" w:sz="4" w:space="0" w:color="auto"/>
              <w:right w:val="nil"/>
            </w:tcBorders>
            <w:shd w:val="clear" w:color="auto" w:fill="F2F2F2"/>
            <w:noWrap/>
            <w:vAlign w:val="center"/>
            <w:hideMark/>
          </w:tcPr>
          <w:p w:rsidR="00C66404" w:rsidRPr="00C66404" w:rsidRDefault="00C66404" w:rsidP="00C66404">
            <w:pPr>
              <w:spacing w:before="0" w:after="0"/>
              <w:jc w:val="left"/>
              <w:rPr>
                <w:color w:val="000000"/>
                <w:sz w:val="22"/>
                <w:lang w:eastAsia="es-CO" w:bidi="ar-SA"/>
              </w:rPr>
            </w:pPr>
            <w:r w:rsidRPr="00C66404">
              <w:rPr>
                <w:color w:val="000000"/>
                <w:sz w:val="22"/>
                <w:lang w:eastAsia="es-CO" w:bidi="ar-SA"/>
              </w:rPr>
              <w:t>- Melanoma Cutáneo</w:t>
            </w:r>
          </w:p>
        </w:tc>
      </w:tr>
    </w:tbl>
    <w:p w:rsidR="00F95CBD" w:rsidRDefault="00F95CBD"/>
    <w:p w:rsidR="00F95CBD" w:rsidRDefault="00F95CBD" w:rsidP="00F95CBD">
      <w:pPr>
        <w:spacing w:before="0" w:after="160" w:line="360" w:lineRule="auto"/>
        <w:jc w:val="center"/>
        <w:rPr>
          <w:b/>
          <w:sz w:val="22"/>
        </w:rPr>
      </w:pPr>
      <w:r>
        <w:rPr>
          <w:b/>
          <w:sz w:val="22"/>
        </w:rPr>
        <w:lastRenderedPageBreak/>
        <w:t>Continuación Tabla 3</w:t>
      </w:r>
    </w:p>
    <w:p w:rsidR="00F95CBD" w:rsidRPr="00F95CBD" w:rsidRDefault="00F95CBD" w:rsidP="00F95CBD">
      <w:pPr>
        <w:spacing w:before="0" w:after="160" w:line="360" w:lineRule="auto"/>
        <w:ind w:left="-142"/>
        <w:jc w:val="center"/>
        <w:rPr>
          <w:sz w:val="22"/>
        </w:rPr>
      </w:pPr>
      <w:r>
        <w:rPr>
          <w:sz w:val="22"/>
        </w:rPr>
        <w:t>Afectaciones del glifosato en la salud según cada artículo</w:t>
      </w:r>
    </w:p>
    <w:tbl>
      <w:tblPr>
        <w:tblW w:w="8033" w:type="dxa"/>
        <w:jc w:val="center"/>
        <w:tblCellMar>
          <w:left w:w="70" w:type="dxa"/>
          <w:right w:w="70" w:type="dxa"/>
        </w:tblCellMar>
        <w:tblLook w:val="04A0" w:firstRow="1" w:lastRow="0" w:firstColumn="1" w:lastColumn="0" w:noHBand="0" w:noVBand="1"/>
      </w:tblPr>
      <w:tblGrid>
        <w:gridCol w:w="5387"/>
        <w:gridCol w:w="2646"/>
      </w:tblGrid>
      <w:tr w:rsidR="00F95CBD" w:rsidRPr="00C66404" w:rsidTr="00F95CBD">
        <w:trPr>
          <w:trHeight w:val="695"/>
          <w:jc w:val="center"/>
        </w:trPr>
        <w:tc>
          <w:tcPr>
            <w:tcW w:w="5387" w:type="dxa"/>
            <w:tcBorders>
              <w:top w:val="single" w:sz="4" w:space="0" w:color="auto"/>
              <w:left w:val="nil"/>
              <w:bottom w:val="single" w:sz="4" w:space="0" w:color="auto"/>
              <w:right w:val="nil"/>
            </w:tcBorders>
            <w:shd w:val="clear" w:color="auto" w:fill="auto"/>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Autores</w:t>
            </w:r>
          </w:p>
        </w:tc>
        <w:tc>
          <w:tcPr>
            <w:tcW w:w="2646" w:type="dxa"/>
            <w:tcBorders>
              <w:top w:val="single" w:sz="4" w:space="0" w:color="auto"/>
              <w:left w:val="nil"/>
              <w:bottom w:val="single" w:sz="4" w:space="0" w:color="auto"/>
              <w:right w:val="nil"/>
            </w:tcBorders>
            <w:shd w:val="clear" w:color="000000" w:fill="FFFFFF"/>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Afectación  en la Salud</w:t>
            </w:r>
          </w:p>
        </w:tc>
      </w:tr>
      <w:tr w:rsidR="00F95CBD" w:rsidRPr="00C66404" w:rsidTr="00F95CBD">
        <w:trPr>
          <w:trHeight w:val="1500"/>
          <w:jc w:val="center"/>
        </w:trPr>
        <w:tc>
          <w:tcPr>
            <w:tcW w:w="5387" w:type="dxa"/>
            <w:tcBorders>
              <w:top w:val="single" w:sz="4" w:space="0" w:color="auto"/>
              <w:left w:val="nil"/>
              <w:bottom w:val="nil"/>
              <w:right w:val="nil"/>
            </w:tcBorders>
            <w:shd w:val="clear" w:color="auto" w:fill="F2F2F2"/>
            <w:vAlign w:val="center"/>
            <w:hideMark/>
          </w:tcPr>
          <w:p w:rsidR="00F95CBD" w:rsidRPr="00C66404" w:rsidRDefault="00590D00" w:rsidP="00F95CBD">
            <w:pPr>
              <w:spacing w:before="0" w:after="0"/>
              <w:jc w:val="left"/>
              <w:rPr>
                <w:color w:val="000000"/>
                <w:sz w:val="22"/>
                <w:lang w:eastAsia="es-CO" w:bidi="ar-SA"/>
              </w:rPr>
            </w:pPr>
            <w:r>
              <w:rPr>
                <w:color w:val="000000"/>
                <w:sz w:val="22"/>
                <w:lang w:eastAsia="es-CO" w:bidi="ar-SA"/>
              </w:rPr>
              <w:t>*</w:t>
            </w:r>
            <w:r w:rsidR="00F95CBD" w:rsidRPr="00C66404">
              <w:rPr>
                <w:color w:val="000000"/>
                <w:sz w:val="22"/>
                <w:lang w:eastAsia="es-CO" w:bidi="ar-SA"/>
              </w:rPr>
              <w:t>S</w:t>
            </w:r>
            <w:r>
              <w:rPr>
                <w:color w:val="000000"/>
                <w:sz w:val="22"/>
                <w:lang w:eastAsia="es-CO" w:bidi="ar-SA"/>
              </w:rPr>
              <w:t>tella Koutros</w:t>
            </w:r>
            <w:r w:rsidR="00F95CBD" w:rsidRPr="00C66404">
              <w:rPr>
                <w:color w:val="000000"/>
                <w:sz w:val="22"/>
                <w:lang w:eastAsia="es-CO" w:bidi="ar-SA"/>
              </w:rPr>
              <w:t>. *Silverman, D.T. *Alavanja, M.C.R. *Andreotti, G. *Lerro, C.C. *Heltshe, S. *Lynch, C.F. *Sandler, D.P. *Blair, A. *Beane Freeman, L.E.</w:t>
            </w:r>
          </w:p>
        </w:tc>
        <w:tc>
          <w:tcPr>
            <w:tcW w:w="2646" w:type="dxa"/>
            <w:tcBorders>
              <w:top w:val="single" w:sz="4" w:space="0" w:color="auto"/>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Cáncer en la vejiga </w:t>
            </w:r>
          </w:p>
        </w:tc>
      </w:tr>
      <w:tr w:rsidR="00F95CBD" w:rsidRPr="00C66404" w:rsidTr="00F95CBD">
        <w:trPr>
          <w:trHeight w:val="1500"/>
          <w:jc w:val="center"/>
        </w:trPr>
        <w:tc>
          <w:tcPr>
            <w:tcW w:w="5387" w:type="dxa"/>
            <w:tcBorders>
              <w:top w:val="nil"/>
              <w:left w:val="nil"/>
              <w:bottom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*Vandenberg LN *Blumberg B *Antoniou MN *Benbrook CM *Carrol L *Colborn T *Everett LG *Hansen M *Landrigan PJ *Lanphear BP *Mensaje R *Saal FS *Gales WV *Myers JP </w:t>
            </w:r>
          </w:p>
        </w:tc>
        <w:tc>
          <w:tcPr>
            <w:tcW w:w="2646" w:type="dxa"/>
            <w:tcBorders>
              <w:top w:val="nil"/>
              <w:left w:val="nil"/>
              <w:bottom w:val="nil"/>
              <w:right w:val="nil"/>
            </w:tcBorders>
            <w:shd w:val="clear" w:color="000000" w:fill="FFFFFF"/>
            <w:noWrap/>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Enfermedad renal Crónica</w:t>
            </w:r>
          </w:p>
        </w:tc>
      </w:tr>
      <w:tr w:rsidR="00F95CBD" w:rsidRPr="00C66404" w:rsidTr="00F95CBD">
        <w:trPr>
          <w:trHeight w:val="1800"/>
          <w:jc w:val="center"/>
        </w:trPr>
        <w:tc>
          <w:tcPr>
            <w:tcW w:w="5387" w:type="dxa"/>
            <w:tcBorders>
              <w:top w:val="nil"/>
              <w:left w:val="nil"/>
              <w:bottom w:val="nil"/>
              <w:right w:val="nil"/>
            </w:tcBorders>
            <w:shd w:val="clear" w:color="auto" w:fill="F2F2F2"/>
            <w:vAlign w:val="center"/>
            <w:hideMark/>
          </w:tcPr>
          <w:p w:rsidR="00F95CBD" w:rsidRPr="00C66404" w:rsidRDefault="00590D00" w:rsidP="00F95CBD">
            <w:pPr>
              <w:spacing w:before="0" w:after="0"/>
              <w:jc w:val="left"/>
              <w:rPr>
                <w:color w:val="000000"/>
                <w:sz w:val="22"/>
                <w:lang w:eastAsia="es-CO" w:bidi="ar-SA"/>
              </w:rPr>
            </w:pPr>
            <w:r>
              <w:rPr>
                <w:color w:val="000000"/>
                <w:sz w:val="22"/>
                <w:lang w:eastAsia="es-CO" w:bidi="ar-SA"/>
              </w:rPr>
              <w:t>*</w:t>
            </w:r>
            <w:r w:rsidR="00F95CBD" w:rsidRPr="00C66404">
              <w:rPr>
                <w:color w:val="000000"/>
                <w:sz w:val="22"/>
                <w:lang w:eastAsia="es-CO" w:bidi="ar-SA"/>
              </w:rPr>
              <w:t>Song</w:t>
            </w:r>
            <w:r>
              <w:rPr>
                <w:color w:val="000000"/>
                <w:sz w:val="22"/>
                <w:lang w:eastAsia="es-CO" w:bidi="ar-SA"/>
              </w:rPr>
              <w:t xml:space="preserve"> Ingul</w:t>
            </w:r>
            <w:r w:rsidR="00F95CBD" w:rsidRPr="00C66404">
              <w:rPr>
                <w:color w:val="000000"/>
                <w:sz w:val="22"/>
                <w:lang w:eastAsia="es-CO" w:bidi="ar-SA"/>
              </w:rPr>
              <w:t xml:space="preserve"> *Seung Yong Cha *Mun Ju Kang *Yong Hwan Kim *Jun Ho Lee *Kwang Won Cho *Seong Youn Hwang *Dong Woo Lee</w:t>
            </w:r>
          </w:p>
        </w:tc>
        <w:tc>
          <w:tcPr>
            <w:tcW w:w="2646"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Corrosión gastrointestinal </w:t>
            </w:r>
            <w:r w:rsidRPr="00C66404">
              <w:rPr>
                <w:color w:val="000000"/>
                <w:sz w:val="22"/>
                <w:lang w:eastAsia="es-CO" w:bidi="ar-SA"/>
              </w:rPr>
              <w:br/>
              <w:t>-Deterioro renal y hepático</w:t>
            </w:r>
            <w:r w:rsidRPr="00C66404">
              <w:rPr>
                <w:color w:val="000000"/>
                <w:sz w:val="22"/>
                <w:lang w:eastAsia="es-CO" w:bidi="ar-SA"/>
              </w:rPr>
              <w:br/>
              <w:t>-Dificultad respiratoria</w:t>
            </w:r>
            <w:r w:rsidRPr="00C66404">
              <w:rPr>
                <w:color w:val="000000"/>
                <w:sz w:val="22"/>
                <w:lang w:eastAsia="es-CO" w:bidi="ar-SA"/>
              </w:rPr>
              <w:br/>
              <w:t>-Alteración de la conciencia</w:t>
            </w:r>
            <w:r w:rsidRPr="00C66404">
              <w:rPr>
                <w:color w:val="000000"/>
                <w:sz w:val="22"/>
                <w:lang w:eastAsia="es-CO" w:bidi="ar-SA"/>
              </w:rPr>
              <w:br/>
              <w:t>-Shock</w:t>
            </w:r>
            <w:r w:rsidRPr="00C66404">
              <w:rPr>
                <w:color w:val="000000"/>
                <w:sz w:val="22"/>
                <w:lang w:eastAsia="es-CO" w:bidi="ar-SA"/>
              </w:rPr>
              <w:br/>
              <w:t>-Arritmia</w:t>
            </w:r>
          </w:p>
        </w:tc>
      </w:tr>
      <w:tr w:rsidR="00F95CBD" w:rsidRPr="00C66404" w:rsidTr="00F95CBD">
        <w:trPr>
          <w:trHeight w:val="1500"/>
          <w:jc w:val="center"/>
        </w:trPr>
        <w:tc>
          <w:tcPr>
            <w:tcW w:w="5387" w:type="dxa"/>
            <w:tcBorders>
              <w:top w:val="nil"/>
              <w:left w:val="nil"/>
              <w:bottom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*Andreotti, G. *Koutros, S.  *Hofmann, J. *Sandler, D.P. *Lynch, C.F. *Lubin, J. *Silverman, D.T. *Lerro, C.C. *De Roos, A. *Alavanja, M.C.R. *Parks, C. *Beane Freeman, L.E.</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Leucemia mieloide aguda</w:t>
            </w:r>
          </w:p>
        </w:tc>
      </w:tr>
      <w:tr w:rsidR="00F95CBD" w:rsidRPr="00C66404" w:rsidTr="00F95CBD">
        <w:trPr>
          <w:trHeight w:val="600"/>
          <w:jc w:val="center"/>
        </w:trPr>
        <w:tc>
          <w:tcPr>
            <w:tcW w:w="5387"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*Tereza Raquel R. Sena *Angelo Roberto Antoniolli </w:t>
            </w:r>
          </w:p>
        </w:tc>
        <w:tc>
          <w:tcPr>
            <w:tcW w:w="2646"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Hipoacusia con frecuencias altas </w:t>
            </w:r>
          </w:p>
        </w:tc>
      </w:tr>
      <w:tr w:rsidR="00F95CBD" w:rsidRPr="00C66404" w:rsidTr="00F95CBD">
        <w:trPr>
          <w:trHeight w:val="1500"/>
          <w:jc w:val="center"/>
        </w:trPr>
        <w:tc>
          <w:tcPr>
            <w:tcW w:w="5387" w:type="dxa"/>
            <w:tcBorders>
              <w:top w:val="nil"/>
              <w:left w:val="nil"/>
              <w:bottom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*Shrestha, S. *Parks, C.G. *Goldner, W.S. *Kamel, F. *Umbach, D.M. *Ward, M.H. *Lerro, C.C. *Koutros, S. *Hofmann, J.N. *Beane Freeman, L.E. *Sandler, D.P.</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Hipotiroidismo</w:t>
            </w:r>
            <w:r w:rsidRPr="00C66404">
              <w:rPr>
                <w:color w:val="000000"/>
                <w:sz w:val="22"/>
                <w:lang w:eastAsia="es-CO" w:bidi="ar-SA"/>
              </w:rPr>
              <w:br/>
              <w:t>-Enfermedades cardiovasculares</w:t>
            </w:r>
            <w:r w:rsidRPr="00C66404">
              <w:rPr>
                <w:color w:val="000000"/>
                <w:sz w:val="22"/>
                <w:lang w:eastAsia="es-CO" w:bidi="ar-SA"/>
              </w:rPr>
              <w:br/>
              <w:t>-Riesgos en el sistema reproductor</w:t>
            </w:r>
            <w:r w:rsidRPr="00C66404">
              <w:rPr>
                <w:color w:val="000000"/>
                <w:sz w:val="22"/>
                <w:lang w:eastAsia="es-CO" w:bidi="ar-SA"/>
              </w:rPr>
              <w:br/>
              <w:t>-Trastornos neuropsiquiátricos</w:t>
            </w:r>
            <w:r w:rsidRPr="00C66404">
              <w:rPr>
                <w:color w:val="000000"/>
                <w:sz w:val="22"/>
                <w:lang w:eastAsia="es-CO" w:bidi="ar-SA"/>
              </w:rPr>
              <w:br/>
              <w:t>-Mala salud ósea</w:t>
            </w:r>
          </w:p>
        </w:tc>
      </w:tr>
      <w:tr w:rsidR="00F95CBD" w:rsidRPr="00C66404" w:rsidTr="00F95CBD">
        <w:trPr>
          <w:trHeight w:val="1800"/>
          <w:jc w:val="center"/>
        </w:trPr>
        <w:tc>
          <w:tcPr>
            <w:tcW w:w="5387" w:type="dxa"/>
            <w:tcBorders>
              <w:top w:val="nil"/>
              <w:left w:val="nil"/>
              <w:right w:val="nil"/>
            </w:tcBorders>
            <w:shd w:val="clear" w:color="auto" w:fill="F2F2F2"/>
            <w:vAlign w:val="center"/>
            <w:hideMark/>
          </w:tcPr>
          <w:p w:rsidR="00F95CBD" w:rsidRPr="00C66404" w:rsidRDefault="00F46356" w:rsidP="00F46356">
            <w:pPr>
              <w:spacing w:before="0" w:after="0"/>
              <w:jc w:val="left"/>
              <w:rPr>
                <w:color w:val="000000"/>
                <w:sz w:val="22"/>
                <w:lang w:eastAsia="es-CO" w:bidi="ar-SA"/>
              </w:rPr>
            </w:pPr>
            <w:r w:rsidRPr="00F46356">
              <w:rPr>
                <w:color w:val="000000"/>
                <w:sz w:val="22"/>
                <w:lang w:eastAsia="es-CO" w:bidi="ar-SA"/>
              </w:rPr>
              <w:t xml:space="preserve">*Intranuovo, G. </w:t>
            </w:r>
            <w:r w:rsidR="00F95CBD" w:rsidRPr="00C66404">
              <w:rPr>
                <w:color w:val="000000"/>
                <w:sz w:val="22"/>
                <w:lang w:eastAsia="es-CO" w:bidi="ar-SA"/>
              </w:rPr>
              <w:t>*Birtolo, F. *Cavone, D. *Cocco, P. *Ferri, G.M. *Giordano, A. *Ingravallo, G. *Macinagrossa, L. *Mazza, P. *Perrone, T. *Schiavulli, N. *Specchia, G. *Spinosa, C. *Strusi, M. *Vimercati, L.</w:t>
            </w:r>
          </w:p>
        </w:tc>
        <w:tc>
          <w:tcPr>
            <w:tcW w:w="2646" w:type="dxa"/>
            <w:tcBorders>
              <w:top w:val="nil"/>
              <w:left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Inducir daños en el ADN (afectación en el sistema inmunitario)</w:t>
            </w:r>
          </w:p>
        </w:tc>
      </w:tr>
      <w:tr w:rsidR="00F95CBD" w:rsidRPr="00C66404" w:rsidTr="00F95CBD">
        <w:trPr>
          <w:trHeight w:val="900"/>
          <w:jc w:val="center"/>
        </w:trPr>
        <w:tc>
          <w:tcPr>
            <w:tcW w:w="5387" w:type="dxa"/>
            <w:tcBorders>
              <w:top w:val="nil"/>
              <w:left w:val="nil"/>
              <w:bottom w:val="single" w:sz="4" w:space="0" w:color="auto"/>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*Barbosa, W.M. *Conti, C.L. *Simão, J.B.P. *Álvares-da-Silva, A.M.</w:t>
            </w:r>
          </w:p>
        </w:tc>
        <w:tc>
          <w:tcPr>
            <w:tcW w:w="2646" w:type="dxa"/>
            <w:tcBorders>
              <w:top w:val="nil"/>
              <w:left w:val="nil"/>
              <w:bottom w:val="single" w:sz="4" w:space="0" w:color="auto"/>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Síntomas depresivos </w:t>
            </w:r>
            <w:r w:rsidRPr="00C66404">
              <w:rPr>
                <w:color w:val="000000"/>
                <w:sz w:val="22"/>
                <w:lang w:eastAsia="es-CO" w:bidi="ar-SA"/>
              </w:rPr>
              <w:br/>
              <w:t xml:space="preserve">si el glifosato se combina con otros </w:t>
            </w:r>
            <w:r w:rsidRPr="00C66404">
              <w:rPr>
                <w:color w:val="000000"/>
                <w:sz w:val="22"/>
                <w:lang w:eastAsia="es-CO" w:bidi="ar-SA"/>
              </w:rPr>
              <w:br/>
              <w:t xml:space="preserve">componentes </w:t>
            </w:r>
          </w:p>
        </w:tc>
      </w:tr>
    </w:tbl>
    <w:p w:rsidR="00F95CBD" w:rsidRDefault="00F95CBD" w:rsidP="00F95CBD">
      <w:pPr>
        <w:spacing w:before="0" w:after="160" w:line="360" w:lineRule="auto"/>
        <w:jc w:val="center"/>
        <w:rPr>
          <w:b/>
          <w:sz w:val="22"/>
        </w:rPr>
      </w:pPr>
      <w:r>
        <w:rPr>
          <w:b/>
          <w:sz w:val="22"/>
        </w:rPr>
        <w:lastRenderedPageBreak/>
        <w:t>Continuación Tabla 3</w:t>
      </w:r>
    </w:p>
    <w:p w:rsidR="00F95CBD" w:rsidRPr="00F95CBD" w:rsidRDefault="00F95CBD" w:rsidP="00F95CBD">
      <w:pPr>
        <w:spacing w:before="0" w:after="160" w:line="360" w:lineRule="auto"/>
        <w:ind w:left="-142"/>
        <w:jc w:val="center"/>
        <w:rPr>
          <w:sz w:val="22"/>
        </w:rPr>
      </w:pPr>
      <w:r>
        <w:rPr>
          <w:sz w:val="22"/>
        </w:rPr>
        <w:t>Afectaciones del glifosato en la salud según cada artículo</w:t>
      </w:r>
    </w:p>
    <w:tbl>
      <w:tblPr>
        <w:tblW w:w="8033" w:type="dxa"/>
        <w:jc w:val="center"/>
        <w:tblCellMar>
          <w:left w:w="70" w:type="dxa"/>
          <w:right w:w="70" w:type="dxa"/>
        </w:tblCellMar>
        <w:tblLook w:val="04A0" w:firstRow="1" w:lastRow="0" w:firstColumn="1" w:lastColumn="0" w:noHBand="0" w:noVBand="1"/>
      </w:tblPr>
      <w:tblGrid>
        <w:gridCol w:w="5387"/>
        <w:gridCol w:w="2646"/>
      </w:tblGrid>
      <w:tr w:rsidR="00F95CBD" w:rsidRPr="00C66404" w:rsidTr="00F95CBD">
        <w:trPr>
          <w:trHeight w:val="900"/>
          <w:jc w:val="center"/>
        </w:trPr>
        <w:tc>
          <w:tcPr>
            <w:tcW w:w="5387" w:type="dxa"/>
            <w:tcBorders>
              <w:top w:val="single" w:sz="4" w:space="0" w:color="auto"/>
              <w:left w:val="nil"/>
              <w:bottom w:val="nil"/>
              <w:right w:val="nil"/>
            </w:tcBorders>
            <w:shd w:val="clear" w:color="auto" w:fill="auto"/>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Autores</w:t>
            </w:r>
          </w:p>
        </w:tc>
        <w:tc>
          <w:tcPr>
            <w:tcW w:w="2646" w:type="dxa"/>
            <w:tcBorders>
              <w:top w:val="single" w:sz="4" w:space="0" w:color="auto"/>
              <w:left w:val="nil"/>
              <w:bottom w:val="nil"/>
              <w:right w:val="nil"/>
            </w:tcBorders>
            <w:shd w:val="clear" w:color="000000" w:fill="FFFFFF"/>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Afectación  en la Salud</w:t>
            </w:r>
          </w:p>
        </w:tc>
      </w:tr>
      <w:tr w:rsidR="00F95CBD" w:rsidRPr="00C66404" w:rsidTr="00F95CBD">
        <w:trPr>
          <w:trHeight w:val="900"/>
          <w:jc w:val="center"/>
        </w:trPr>
        <w:tc>
          <w:tcPr>
            <w:tcW w:w="5387" w:type="dxa"/>
            <w:tcBorders>
              <w:top w:val="single" w:sz="4" w:space="0" w:color="auto"/>
              <w:left w:val="nil"/>
              <w:bottom w:val="nil"/>
              <w:right w:val="nil"/>
            </w:tcBorders>
            <w:shd w:val="clear" w:color="auto" w:fill="F2F2F2"/>
            <w:vAlign w:val="center"/>
            <w:hideMark/>
          </w:tcPr>
          <w:p w:rsidR="00F95CBD" w:rsidRPr="00C66404" w:rsidRDefault="001134ED" w:rsidP="001134ED">
            <w:pPr>
              <w:spacing w:before="0" w:after="0"/>
              <w:jc w:val="left"/>
              <w:rPr>
                <w:color w:val="000000"/>
                <w:sz w:val="22"/>
                <w:lang w:eastAsia="es-CO" w:bidi="ar-SA"/>
              </w:rPr>
            </w:pPr>
            <w:r w:rsidRPr="001134ED">
              <w:rPr>
                <w:color w:val="000000"/>
                <w:sz w:val="22"/>
                <w:lang w:eastAsia="es-CO" w:bidi="ar-SA"/>
              </w:rPr>
              <w:t xml:space="preserve">*Leyva-Soto, </w:t>
            </w:r>
            <w:r w:rsidR="00F95CBD" w:rsidRPr="00C66404">
              <w:rPr>
                <w:color w:val="000000"/>
                <w:sz w:val="22"/>
                <w:lang w:eastAsia="es-CO" w:bidi="ar-SA"/>
              </w:rPr>
              <w:t>*Balderrama-Carmona, A.P. *Diaz-Tenorio, L.M. *Gortares-Moroyoqui, P. L.A. *Moran-Palacio, E.F.</w:t>
            </w:r>
          </w:p>
        </w:tc>
        <w:tc>
          <w:tcPr>
            <w:tcW w:w="2646" w:type="dxa"/>
            <w:tcBorders>
              <w:top w:val="single" w:sz="4" w:space="0" w:color="auto"/>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Diabetes</w:t>
            </w:r>
            <w:r w:rsidRPr="00C66404">
              <w:rPr>
                <w:color w:val="000000"/>
                <w:sz w:val="22"/>
                <w:lang w:eastAsia="es-CO" w:bidi="ar-SA"/>
              </w:rPr>
              <w:br/>
              <w:t xml:space="preserve"> - Hipertensión </w:t>
            </w:r>
          </w:p>
        </w:tc>
      </w:tr>
      <w:tr w:rsidR="00F95CBD" w:rsidRPr="00C66404" w:rsidTr="00F95CBD">
        <w:trPr>
          <w:trHeight w:val="900"/>
          <w:jc w:val="center"/>
        </w:trPr>
        <w:tc>
          <w:tcPr>
            <w:tcW w:w="5387" w:type="dxa"/>
            <w:tcBorders>
              <w:top w:val="nil"/>
              <w:left w:val="nil"/>
              <w:bottom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*Ashby, J.L. *Friesen, M. *Gerona, R.R. *Lui, Z. *Parvez, S. *Proctor, C. *Reiter, J.L. *Winchester, P.D.</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Reducción en los periodos de gestación </w:t>
            </w:r>
          </w:p>
        </w:tc>
      </w:tr>
      <w:tr w:rsidR="00F95CBD" w:rsidRPr="00C66404" w:rsidTr="00F95CBD">
        <w:trPr>
          <w:trHeight w:val="600"/>
          <w:jc w:val="center"/>
        </w:trPr>
        <w:tc>
          <w:tcPr>
            <w:tcW w:w="5387" w:type="dxa"/>
            <w:tcBorders>
              <w:top w:val="nil"/>
              <w:left w:val="nil"/>
              <w:bottom w:val="nil"/>
              <w:right w:val="nil"/>
            </w:tcBorders>
            <w:shd w:val="clear" w:color="auto" w:fill="F2F2F2"/>
            <w:noWrap/>
            <w:vAlign w:val="center"/>
            <w:hideMark/>
          </w:tcPr>
          <w:p w:rsidR="00F95CBD" w:rsidRPr="00C66404" w:rsidRDefault="00F95CBD" w:rsidP="00F95CBD">
            <w:pPr>
              <w:spacing w:before="0" w:after="0"/>
              <w:jc w:val="left"/>
              <w:rPr>
                <w:sz w:val="22"/>
                <w:lang w:eastAsia="es-CO" w:bidi="ar-SA"/>
              </w:rPr>
            </w:pPr>
            <w:r w:rsidRPr="00C66404">
              <w:rPr>
                <w:sz w:val="22"/>
                <w:lang w:eastAsia="es-CO" w:bidi="ar-SA"/>
              </w:rPr>
              <w:t>*Seneff S *Orlando L</w:t>
            </w:r>
          </w:p>
        </w:tc>
        <w:tc>
          <w:tcPr>
            <w:tcW w:w="2646"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Enfermedad Renal crónica de Origen desconocido </w:t>
            </w:r>
          </w:p>
        </w:tc>
      </w:tr>
      <w:tr w:rsidR="00F95CBD" w:rsidRPr="00C66404" w:rsidTr="00F95CBD">
        <w:trPr>
          <w:trHeight w:val="1500"/>
          <w:jc w:val="center"/>
        </w:trPr>
        <w:tc>
          <w:tcPr>
            <w:tcW w:w="5387" w:type="dxa"/>
            <w:tcBorders>
              <w:top w:val="nil"/>
              <w:left w:val="nil"/>
              <w:bottom w:val="nil"/>
              <w:right w:val="nil"/>
            </w:tcBorders>
            <w:shd w:val="clear" w:color="auto" w:fill="auto"/>
            <w:vAlign w:val="center"/>
            <w:hideMark/>
          </w:tcPr>
          <w:p w:rsidR="00F95CBD" w:rsidRPr="00C66404" w:rsidRDefault="00260801" w:rsidP="00260801">
            <w:pPr>
              <w:spacing w:before="0" w:after="0"/>
              <w:jc w:val="left"/>
              <w:rPr>
                <w:color w:val="000000"/>
                <w:sz w:val="22"/>
                <w:lang w:eastAsia="es-CO" w:bidi="ar-SA"/>
              </w:rPr>
            </w:pPr>
            <w:r w:rsidRPr="00260801">
              <w:rPr>
                <w:color w:val="000000"/>
                <w:sz w:val="22"/>
                <w:lang w:eastAsia="es-CO" w:bidi="ar-SA"/>
              </w:rPr>
              <w:t>*Cattelan, M.D.P.</w:t>
            </w:r>
            <w:r w:rsidR="00F95CBD" w:rsidRPr="00C66404">
              <w:rPr>
                <w:color w:val="000000"/>
                <w:sz w:val="22"/>
                <w:lang w:eastAsia="es-CO" w:bidi="ar-SA"/>
              </w:rPr>
              <w:t>*Berro, L.F *Garcia, F. *Machado, M.M. *Manfredini, V. *Maurer, P. *Piccoli, J.d.C.E.</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Estrés Oxidativo</w:t>
            </w:r>
            <w:r w:rsidRPr="00C66404">
              <w:rPr>
                <w:color w:val="000000"/>
                <w:sz w:val="22"/>
                <w:lang w:eastAsia="es-CO" w:bidi="ar-SA"/>
              </w:rPr>
              <w:br/>
              <w:t xml:space="preserve">- Alteraciones en el sistema Inmunológico </w:t>
            </w:r>
            <w:r w:rsidRPr="00C66404">
              <w:rPr>
                <w:color w:val="000000"/>
                <w:sz w:val="22"/>
                <w:lang w:eastAsia="es-CO" w:bidi="ar-SA"/>
              </w:rPr>
              <w:br/>
              <w:t>- Diabetes</w:t>
            </w:r>
            <w:r w:rsidRPr="00C66404">
              <w:rPr>
                <w:color w:val="000000"/>
                <w:sz w:val="22"/>
                <w:lang w:eastAsia="es-CO" w:bidi="ar-SA"/>
              </w:rPr>
              <w:br/>
              <w:t>- Obesidad</w:t>
            </w:r>
          </w:p>
        </w:tc>
      </w:tr>
      <w:tr w:rsidR="00F95CBD" w:rsidRPr="00C66404" w:rsidTr="00F95CBD">
        <w:trPr>
          <w:trHeight w:val="900"/>
          <w:jc w:val="center"/>
        </w:trPr>
        <w:tc>
          <w:tcPr>
            <w:tcW w:w="5387"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*Von Ehrenstein, O.S. *Ling, C. *Cui, X. *Cockburn, M. *Park, A.S. *Yu, F. *Wu, J. *Ritz, B.</w:t>
            </w:r>
          </w:p>
        </w:tc>
        <w:tc>
          <w:tcPr>
            <w:tcW w:w="2646"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Trastorno del espectro Autista </w:t>
            </w:r>
            <w:r w:rsidRPr="00C66404">
              <w:rPr>
                <w:color w:val="000000"/>
                <w:sz w:val="22"/>
                <w:lang w:eastAsia="es-CO" w:bidi="ar-SA"/>
              </w:rPr>
              <w:br/>
              <w:t>-Capacidad comórbida</w:t>
            </w:r>
          </w:p>
        </w:tc>
      </w:tr>
      <w:tr w:rsidR="00F95CBD" w:rsidRPr="00C66404" w:rsidTr="00F95CBD">
        <w:trPr>
          <w:trHeight w:val="600"/>
          <w:jc w:val="center"/>
        </w:trPr>
        <w:tc>
          <w:tcPr>
            <w:tcW w:w="5387" w:type="dxa"/>
            <w:tcBorders>
              <w:top w:val="nil"/>
              <w:left w:val="nil"/>
              <w:bottom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*Gunatilake, S. *Orlando, L. *Seneff, S.</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Enfermedad Renal Crónica de </w:t>
            </w:r>
            <w:r w:rsidRPr="00C66404">
              <w:rPr>
                <w:color w:val="000000"/>
                <w:sz w:val="22"/>
                <w:lang w:eastAsia="es-CO" w:bidi="ar-SA"/>
              </w:rPr>
              <w:br/>
              <w:t>origen desconocido (CKDu)</w:t>
            </w:r>
          </w:p>
        </w:tc>
      </w:tr>
      <w:tr w:rsidR="00F95CBD" w:rsidRPr="00C66404" w:rsidTr="00F95CBD">
        <w:trPr>
          <w:trHeight w:val="900"/>
          <w:jc w:val="center"/>
        </w:trPr>
        <w:tc>
          <w:tcPr>
            <w:tcW w:w="5387" w:type="dxa"/>
            <w:tcBorders>
              <w:top w:val="nil"/>
              <w:left w:val="nil"/>
              <w:bottom w:val="nil"/>
              <w:right w:val="nil"/>
            </w:tcBorders>
            <w:shd w:val="clear" w:color="auto" w:fill="F2F2F2"/>
            <w:vAlign w:val="center"/>
            <w:hideMark/>
          </w:tcPr>
          <w:p w:rsidR="00F95CBD" w:rsidRPr="00C66404" w:rsidRDefault="00991A37" w:rsidP="00991A37">
            <w:pPr>
              <w:spacing w:before="0" w:after="0"/>
              <w:jc w:val="left"/>
              <w:rPr>
                <w:color w:val="000000"/>
                <w:sz w:val="22"/>
                <w:lang w:eastAsia="es-CO" w:bidi="ar-SA"/>
              </w:rPr>
            </w:pPr>
            <w:r w:rsidRPr="00991A37">
              <w:rPr>
                <w:color w:val="000000"/>
                <w:sz w:val="22"/>
                <w:lang w:eastAsia="es-CO" w:bidi="ar-SA"/>
              </w:rPr>
              <w:t>*Perry, M.J.</w:t>
            </w:r>
            <w:r w:rsidR="00F95CBD" w:rsidRPr="00C66404">
              <w:rPr>
                <w:color w:val="000000"/>
                <w:sz w:val="22"/>
                <w:lang w:eastAsia="es-CO" w:bidi="ar-SA"/>
              </w:rPr>
              <w:t xml:space="preserve">*Belpoggi, F. *Irwin, C. *Mandrioli, D. *Manservisi, F. *Panzacchi, S. </w:t>
            </w:r>
          </w:p>
        </w:tc>
        <w:tc>
          <w:tcPr>
            <w:tcW w:w="2646" w:type="dxa"/>
            <w:tcBorders>
              <w:top w:val="nil"/>
              <w:left w:val="nil"/>
              <w:bottom w:val="nil"/>
              <w:right w:val="nil"/>
            </w:tcBorders>
            <w:shd w:val="clear" w:color="auto" w:fill="F2F2F2"/>
            <w:noWrap/>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Lesiones Renales / Daños Renales </w:t>
            </w:r>
          </w:p>
        </w:tc>
      </w:tr>
      <w:tr w:rsidR="00F95CBD" w:rsidRPr="00C66404" w:rsidTr="00F95CBD">
        <w:trPr>
          <w:trHeight w:val="900"/>
          <w:jc w:val="center"/>
        </w:trPr>
        <w:tc>
          <w:tcPr>
            <w:tcW w:w="5387" w:type="dxa"/>
            <w:tcBorders>
              <w:top w:val="nil"/>
              <w:left w:val="nil"/>
              <w:bottom w:val="nil"/>
              <w:right w:val="nil"/>
            </w:tcBorders>
            <w:shd w:val="clear" w:color="auto" w:fill="auto"/>
            <w:vAlign w:val="center"/>
            <w:hideMark/>
          </w:tcPr>
          <w:p w:rsidR="00F95CBD" w:rsidRPr="00C66404" w:rsidRDefault="00991A37" w:rsidP="00991A37">
            <w:pPr>
              <w:spacing w:before="0" w:after="0"/>
              <w:jc w:val="left"/>
              <w:rPr>
                <w:color w:val="000000"/>
                <w:sz w:val="22"/>
                <w:lang w:eastAsia="es-CO" w:bidi="ar-SA"/>
              </w:rPr>
            </w:pPr>
            <w:r w:rsidRPr="00991A37">
              <w:rPr>
                <w:color w:val="000000"/>
                <w:sz w:val="22"/>
                <w:lang w:eastAsia="es-CO" w:bidi="ar-SA"/>
              </w:rPr>
              <w:t xml:space="preserve">*Díaz-Criollo, S. </w:t>
            </w:r>
            <w:r w:rsidR="00F95CBD" w:rsidRPr="00C66404">
              <w:rPr>
                <w:color w:val="000000"/>
                <w:sz w:val="22"/>
                <w:lang w:eastAsia="es-CO" w:bidi="ar-SA"/>
              </w:rPr>
              <w:t>*Combariza, D. *Idrovo, A.J. *Monroy-García, A.A. *Palma, M. *Varona-Uribe, M.E.</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Rinitis alérgica</w:t>
            </w:r>
            <w:r w:rsidRPr="00C66404">
              <w:rPr>
                <w:color w:val="000000"/>
                <w:sz w:val="22"/>
                <w:lang w:eastAsia="es-CO" w:bidi="ar-SA"/>
              </w:rPr>
              <w:br/>
              <w:t xml:space="preserve"> (mezcla de glifosato con plaguicidas profenofos)</w:t>
            </w:r>
          </w:p>
        </w:tc>
      </w:tr>
      <w:tr w:rsidR="00F95CBD" w:rsidRPr="00C66404" w:rsidTr="00F95CBD">
        <w:trPr>
          <w:trHeight w:val="1200"/>
          <w:jc w:val="center"/>
        </w:trPr>
        <w:tc>
          <w:tcPr>
            <w:tcW w:w="5387" w:type="dxa"/>
            <w:tcBorders>
              <w:top w:val="nil"/>
              <w:left w:val="nil"/>
              <w:right w:val="nil"/>
            </w:tcBorders>
            <w:shd w:val="clear" w:color="auto" w:fill="F2F2F2"/>
            <w:vAlign w:val="center"/>
            <w:hideMark/>
          </w:tcPr>
          <w:p w:rsidR="00F95CBD" w:rsidRPr="00C66404" w:rsidRDefault="00991A37" w:rsidP="00991A37">
            <w:pPr>
              <w:spacing w:before="0" w:after="0"/>
              <w:jc w:val="left"/>
              <w:rPr>
                <w:color w:val="000000"/>
                <w:sz w:val="22"/>
                <w:lang w:eastAsia="es-CO" w:bidi="ar-SA"/>
              </w:rPr>
            </w:pPr>
            <w:r w:rsidRPr="00991A37">
              <w:rPr>
                <w:color w:val="000000"/>
                <w:sz w:val="22"/>
                <w:lang w:eastAsia="es-CO" w:bidi="ar-SA"/>
              </w:rPr>
              <w:t>*Santos, R.</w:t>
            </w:r>
            <w:r>
              <w:rPr>
                <w:color w:val="000000"/>
                <w:sz w:val="22"/>
                <w:lang w:eastAsia="es-CO" w:bidi="ar-SA"/>
              </w:rPr>
              <w:t xml:space="preserve"> </w:t>
            </w:r>
            <w:r w:rsidR="00F95CBD" w:rsidRPr="00C66404">
              <w:rPr>
                <w:color w:val="000000"/>
                <w:sz w:val="22"/>
                <w:lang w:eastAsia="es-CO" w:bidi="ar-SA"/>
              </w:rPr>
              <w:t xml:space="preserve">*Cremonese, C. *Freire, C. *Piccoli, C. </w:t>
            </w:r>
          </w:p>
        </w:tc>
        <w:tc>
          <w:tcPr>
            <w:tcW w:w="2646" w:type="dxa"/>
            <w:tcBorders>
              <w:top w:val="nil"/>
              <w:left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Afectaciones en el sistema reproductor masculino</w:t>
            </w:r>
            <w:r w:rsidRPr="00C66404">
              <w:rPr>
                <w:color w:val="000000"/>
                <w:sz w:val="22"/>
                <w:lang w:eastAsia="es-CO" w:bidi="ar-SA"/>
              </w:rPr>
              <w:br/>
              <w:t>-Reducción Tiroxina T4 y Triyodotironina T3</w:t>
            </w:r>
          </w:p>
        </w:tc>
      </w:tr>
      <w:tr w:rsidR="00F95CBD" w:rsidRPr="00C66404" w:rsidTr="00F95CBD">
        <w:trPr>
          <w:trHeight w:val="1200"/>
          <w:jc w:val="center"/>
        </w:trPr>
        <w:tc>
          <w:tcPr>
            <w:tcW w:w="5387" w:type="dxa"/>
            <w:tcBorders>
              <w:top w:val="nil"/>
              <w:left w:val="nil"/>
              <w:bottom w:val="single" w:sz="4" w:space="0" w:color="auto"/>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*Kongtip, P. *Nankongnab, N. *Kallayanatham, N. *Pundee, R. *Choochouy, N. *Yimsabai, J. *Woskie, S.</w:t>
            </w:r>
          </w:p>
        </w:tc>
        <w:tc>
          <w:tcPr>
            <w:tcW w:w="2646" w:type="dxa"/>
            <w:tcBorders>
              <w:top w:val="nil"/>
              <w:left w:val="nil"/>
              <w:bottom w:val="single" w:sz="4" w:space="0" w:color="auto"/>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Aumento en la hormona Tiroxina (T4) </w:t>
            </w:r>
          </w:p>
        </w:tc>
      </w:tr>
    </w:tbl>
    <w:p w:rsidR="00F95CBD" w:rsidRDefault="00F95CBD" w:rsidP="00F95CBD">
      <w:pPr>
        <w:spacing w:before="0" w:after="160" w:line="360" w:lineRule="auto"/>
        <w:jc w:val="center"/>
        <w:rPr>
          <w:b/>
          <w:sz w:val="22"/>
        </w:rPr>
      </w:pPr>
    </w:p>
    <w:p w:rsidR="00F95CBD" w:rsidRDefault="00F95CBD" w:rsidP="00F95CBD">
      <w:pPr>
        <w:spacing w:before="0" w:after="160" w:line="360" w:lineRule="auto"/>
        <w:jc w:val="center"/>
        <w:rPr>
          <w:b/>
          <w:sz w:val="22"/>
        </w:rPr>
      </w:pPr>
    </w:p>
    <w:p w:rsidR="00F95CBD" w:rsidRDefault="00F95CBD" w:rsidP="00F95CBD">
      <w:pPr>
        <w:spacing w:before="0" w:after="160" w:line="360" w:lineRule="auto"/>
        <w:jc w:val="center"/>
        <w:rPr>
          <w:b/>
          <w:sz w:val="22"/>
        </w:rPr>
      </w:pPr>
    </w:p>
    <w:p w:rsidR="00F95CBD" w:rsidRDefault="00F95CBD" w:rsidP="00F95CBD">
      <w:pPr>
        <w:spacing w:before="0" w:after="160" w:line="360" w:lineRule="auto"/>
        <w:jc w:val="center"/>
        <w:rPr>
          <w:b/>
          <w:sz w:val="22"/>
        </w:rPr>
      </w:pPr>
      <w:r>
        <w:rPr>
          <w:b/>
          <w:sz w:val="22"/>
        </w:rPr>
        <w:lastRenderedPageBreak/>
        <w:t>Continuación Tabla 3</w:t>
      </w:r>
    </w:p>
    <w:p w:rsidR="00F95CBD" w:rsidRPr="00F95CBD" w:rsidRDefault="00F95CBD" w:rsidP="00F95CBD">
      <w:pPr>
        <w:spacing w:before="0" w:after="160" w:line="360" w:lineRule="auto"/>
        <w:ind w:left="-142"/>
        <w:jc w:val="center"/>
        <w:rPr>
          <w:sz w:val="22"/>
        </w:rPr>
      </w:pPr>
      <w:r>
        <w:rPr>
          <w:sz w:val="22"/>
        </w:rPr>
        <w:t>Afectaciones del glifosato en la salud según cada artículo</w:t>
      </w:r>
    </w:p>
    <w:tbl>
      <w:tblPr>
        <w:tblW w:w="8033" w:type="dxa"/>
        <w:jc w:val="center"/>
        <w:tblCellMar>
          <w:left w:w="70" w:type="dxa"/>
          <w:right w:w="70" w:type="dxa"/>
        </w:tblCellMar>
        <w:tblLook w:val="04A0" w:firstRow="1" w:lastRow="0" w:firstColumn="1" w:lastColumn="0" w:noHBand="0" w:noVBand="1"/>
      </w:tblPr>
      <w:tblGrid>
        <w:gridCol w:w="5387"/>
        <w:gridCol w:w="2646"/>
      </w:tblGrid>
      <w:tr w:rsidR="00F95CBD" w:rsidRPr="00C66404" w:rsidTr="00F95CBD">
        <w:trPr>
          <w:trHeight w:val="928"/>
          <w:jc w:val="center"/>
        </w:trPr>
        <w:tc>
          <w:tcPr>
            <w:tcW w:w="5387" w:type="dxa"/>
            <w:tcBorders>
              <w:top w:val="single" w:sz="4" w:space="0" w:color="auto"/>
              <w:left w:val="nil"/>
              <w:bottom w:val="nil"/>
              <w:right w:val="nil"/>
            </w:tcBorders>
            <w:shd w:val="clear" w:color="auto" w:fill="auto"/>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Autores</w:t>
            </w:r>
          </w:p>
        </w:tc>
        <w:tc>
          <w:tcPr>
            <w:tcW w:w="2646" w:type="dxa"/>
            <w:tcBorders>
              <w:top w:val="single" w:sz="4" w:space="0" w:color="auto"/>
              <w:left w:val="nil"/>
              <w:bottom w:val="nil"/>
              <w:right w:val="nil"/>
            </w:tcBorders>
            <w:shd w:val="clear" w:color="000000" w:fill="FFFFFF"/>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Afectación  en la Salud</w:t>
            </w:r>
          </w:p>
        </w:tc>
      </w:tr>
      <w:tr w:rsidR="00F95CBD" w:rsidRPr="00C66404" w:rsidTr="00F95CBD">
        <w:trPr>
          <w:trHeight w:val="2100"/>
          <w:jc w:val="center"/>
        </w:trPr>
        <w:tc>
          <w:tcPr>
            <w:tcW w:w="5387" w:type="dxa"/>
            <w:tcBorders>
              <w:top w:val="single" w:sz="4" w:space="0" w:color="auto"/>
              <w:left w:val="nil"/>
              <w:bottom w:val="nil"/>
              <w:right w:val="nil"/>
            </w:tcBorders>
            <w:shd w:val="clear" w:color="auto" w:fill="F2F2F2"/>
            <w:vAlign w:val="center"/>
            <w:hideMark/>
          </w:tcPr>
          <w:p w:rsidR="00F95CBD" w:rsidRPr="00C66404" w:rsidRDefault="00991A37" w:rsidP="00991A37">
            <w:pPr>
              <w:spacing w:before="0" w:after="0"/>
              <w:jc w:val="left"/>
              <w:rPr>
                <w:color w:val="000000"/>
                <w:sz w:val="22"/>
                <w:lang w:eastAsia="es-CO" w:bidi="ar-SA"/>
              </w:rPr>
            </w:pPr>
            <w:r w:rsidRPr="00991A37">
              <w:rPr>
                <w:color w:val="000000"/>
                <w:sz w:val="22"/>
                <w:lang w:eastAsia="es-CO" w:bidi="ar-SA"/>
              </w:rPr>
              <w:t xml:space="preserve">*Leon, M.E. </w:t>
            </w:r>
            <w:r w:rsidR="00F95CBD" w:rsidRPr="00C66404">
              <w:rPr>
                <w:color w:val="000000"/>
                <w:sz w:val="22"/>
                <w:lang w:eastAsia="es-CO" w:bidi="ar-SA"/>
              </w:rPr>
              <w:t>*Baldi, I. *Beane Freeman, L.E. *Brouwer, M. *Ferro, G. *Hofmann, J.N. *Kjaerheim, K. *Koutros, S. *Kristensen, P. *Kromhout, H. *Lebailly, P. *Monnereau, A. *Nordby, K.C. *Schinasi, L.H. *Schüz, J. *Straif, K. *Tual, S.</w:t>
            </w:r>
          </w:p>
        </w:tc>
        <w:tc>
          <w:tcPr>
            <w:tcW w:w="2646" w:type="dxa"/>
            <w:tcBorders>
              <w:top w:val="single" w:sz="4" w:space="0" w:color="auto"/>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Generación de linfoma DLBCL </w:t>
            </w:r>
            <w:r w:rsidRPr="00C66404">
              <w:rPr>
                <w:color w:val="000000"/>
                <w:sz w:val="22"/>
                <w:lang w:eastAsia="es-CO" w:bidi="ar-SA"/>
              </w:rPr>
              <w:br/>
              <w:t>(cáncer en los linfocitos)</w:t>
            </w:r>
          </w:p>
        </w:tc>
      </w:tr>
      <w:tr w:rsidR="00F95CBD" w:rsidRPr="00C66404" w:rsidTr="00F95CBD">
        <w:trPr>
          <w:trHeight w:val="600"/>
          <w:jc w:val="center"/>
        </w:trPr>
        <w:tc>
          <w:tcPr>
            <w:tcW w:w="5387" w:type="dxa"/>
            <w:tcBorders>
              <w:top w:val="nil"/>
              <w:left w:val="nil"/>
              <w:bottom w:val="nil"/>
              <w:right w:val="nil"/>
            </w:tcBorders>
            <w:shd w:val="clear" w:color="auto" w:fill="auto"/>
            <w:noWrap/>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*Hutter, H.P. *Kundi, M. *Khan, A.W. *Moshammer, H. *Poteser, M. *Wallner, P. </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Efectos genotóxicos y citotóxicos</w:t>
            </w:r>
            <w:r w:rsidRPr="00C66404">
              <w:rPr>
                <w:color w:val="000000"/>
                <w:sz w:val="22"/>
                <w:lang w:eastAsia="es-CO" w:bidi="ar-SA"/>
              </w:rPr>
              <w:br/>
              <w:t>en las células bucales</w:t>
            </w:r>
          </w:p>
        </w:tc>
      </w:tr>
      <w:tr w:rsidR="00F95CBD" w:rsidRPr="00C66404" w:rsidTr="00F95CBD">
        <w:trPr>
          <w:trHeight w:val="1500"/>
          <w:jc w:val="center"/>
        </w:trPr>
        <w:tc>
          <w:tcPr>
            <w:tcW w:w="5387" w:type="dxa"/>
            <w:tcBorders>
              <w:top w:val="nil"/>
              <w:left w:val="nil"/>
              <w:bottom w:val="nil"/>
              <w:right w:val="nil"/>
            </w:tcBorders>
            <w:shd w:val="clear" w:color="auto" w:fill="F2F2F2"/>
            <w:vAlign w:val="center"/>
            <w:hideMark/>
          </w:tcPr>
          <w:p w:rsidR="00F95CBD" w:rsidRPr="00C66404" w:rsidRDefault="00991A37" w:rsidP="00991A37">
            <w:pPr>
              <w:spacing w:before="0" w:after="0"/>
              <w:jc w:val="left"/>
              <w:rPr>
                <w:color w:val="000000"/>
                <w:sz w:val="22"/>
                <w:lang w:eastAsia="es-CO" w:bidi="ar-SA"/>
              </w:rPr>
            </w:pPr>
            <w:r w:rsidRPr="00991A37">
              <w:rPr>
                <w:color w:val="000000"/>
                <w:sz w:val="22"/>
                <w:lang w:eastAsia="es-CO" w:bidi="ar-SA"/>
              </w:rPr>
              <w:t xml:space="preserve">*Pahwa, M. </w:t>
            </w:r>
            <w:r w:rsidR="00F95CBD" w:rsidRPr="00C66404">
              <w:rPr>
                <w:color w:val="000000"/>
                <w:sz w:val="22"/>
                <w:lang w:eastAsia="es-CO" w:bidi="ar-SA"/>
              </w:rPr>
              <w:t>*Beane Freeman, L.E. *Blair, A. *Cantor, K.P. *Demers, P.A. *Dosman, J.A. *Harris, S.A. *McLaughlin, J.R. *Pahwa, P. *Spinelli, J.J. *Weisenburger, D.D. *Zahm, S.H.</w:t>
            </w:r>
          </w:p>
        </w:tc>
        <w:tc>
          <w:tcPr>
            <w:tcW w:w="2646"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Linfoma no Hodgkin (LNH)</w:t>
            </w:r>
          </w:p>
        </w:tc>
      </w:tr>
      <w:tr w:rsidR="00F95CBD" w:rsidRPr="00C66404" w:rsidTr="00F95CBD">
        <w:trPr>
          <w:trHeight w:val="600"/>
          <w:jc w:val="center"/>
        </w:trPr>
        <w:tc>
          <w:tcPr>
            <w:tcW w:w="5387" w:type="dxa"/>
            <w:tcBorders>
              <w:top w:val="nil"/>
              <w:left w:val="nil"/>
              <w:bottom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*Antoniolli, Â.R. *De Sena, T.R.R. *Dourado, S.S.F.</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Hipoacusia con frecuencias altas </w:t>
            </w:r>
          </w:p>
        </w:tc>
      </w:tr>
      <w:tr w:rsidR="00F95CBD" w:rsidRPr="00C66404" w:rsidTr="00F95CBD">
        <w:trPr>
          <w:trHeight w:val="900"/>
          <w:jc w:val="center"/>
        </w:trPr>
        <w:tc>
          <w:tcPr>
            <w:tcW w:w="5387"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*Eriguchi, M. *Hara, H. *Hattori, N. *Iida, K. *Ikeda, S. *Nagayama, H. *Nishioka, K. *Osoegawa, M.</w:t>
            </w:r>
          </w:p>
        </w:tc>
        <w:tc>
          <w:tcPr>
            <w:tcW w:w="2646"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Parkinson </w:t>
            </w:r>
          </w:p>
        </w:tc>
      </w:tr>
      <w:tr w:rsidR="00F95CBD" w:rsidRPr="00C66404" w:rsidTr="00F95CBD">
        <w:trPr>
          <w:trHeight w:val="3900"/>
          <w:jc w:val="center"/>
        </w:trPr>
        <w:tc>
          <w:tcPr>
            <w:tcW w:w="5387" w:type="dxa"/>
            <w:tcBorders>
              <w:top w:val="nil"/>
              <w:left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*Balderrama-Carmona, A.P. *Zamora-Álvarez, L.A. *Adan-Bante, N.P. *Leyva-Soto, L.A. *Silva-Beltrán, N.P. *Morán-Palacio, E.F. *Valenzuela-Rincón, M.</w:t>
            </w:r>
          </w:p>
        </w:tc>
        <w:tc>
          <w:tcPr>
            <w:tcW w:w="2646" w:type="dxa"/>
            <w:tcBorders>
              <w:top w:val="nil"/>
              <w:left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Alzheimer</w:t>
            </w:r>
            <w:r w:rsidRPr="00C66404">
              <w:rPr>
                <w:color w:val="000000"/>
                <w:sz w:val="22"/>
                <w:lang w:eastAsia="es-CO" w:bidi="ar-SA"/>
              </w:rPr>
              <w:br/>
              <w:t>-Parkinson</w:t>
            </w:r>
            <w:r w:rsidRPr="00C66404">
              <w:rPr>
                <w:color w:val="000000"/>
                <w:sz w:val="22"/>
                <w:lang w:eastAsia="es-CO" w:bidi="ar-SA"/>
              </w:rPr>
              <w:br/>
              <w:t>-Nefropatía</w:t>
            </w:r>
            <w:r w:rsidRPr="00C66404">
              <w:rPr>
                <w:color w:val="000000"/>
                <w:sz w:val="22"/>
                <w:lang w:eastAsia="es-CO" w:bidi="ar-SA"/>
              </w:rPr>
              <w:br/>
              <w:t>-Disfunciones endocrinas</w:t>
            </w:r>
            <w:r w:rsidRPr="00C66404">
              <w:rPr>
                <w:color w:val="000000"/>
                <w:sz w:val="22"/>
                <w:lang w:eastAsia="es-CO" w:bidi="ar-SA"/>
              </w:rPr>
              <w:br/>
              <w:t>-Enfermedad tiroidea (General)</w:t>
            </w:r>
            <w:r w:rsidRPr="00C66404">
              <w:rPr>
                <w:color w:val="000000"/>
                <w:sz w:val="22"/>
                <w:lang w:eastAsia="es-CO" w:bidi="ar-SA"/>
              </w:rPr>
              <w:br/>
              <w:t>-Diabetes mellitus</w:t>
            </w:r>
            <w:r w:rsidRPr="00C66404">
              <w:rPr>
                <w:color w:val="000000"/>
                <w:sz w:val="22"/>
                <w:lang w:eastAsia="es-CO" w:bidi="ar-SA"/>
              </w:rPr>
              <w:br/>
              <w:t>-Hipertensión</w:t>
            </w:r>
            <w:r w:rsidRPr="00C66404">
              <w:rPr>
                <w:color w:val="000000"/>
                <w:sz w:val="22"/>
                <w:lang w:eastAsia="es-CO" w:bidi="ar-SA"/>
              </w:rPr>
              <w:br/>
              <w:t>-Generador de cáncer</w:t>
            </w:r>
            <w:r w:rsidRPr="00C66404">
              <w:rPr>
                <w:color w:val="000000"/>
                <w:sz w:val="22"/>
                <w:lang w:eastAsia="es-CO" w:bidi="ar-SA"/>
              </w:rPr>
              <w:br/>
              <w:t>-Toxicidad en las células del sistema inmunológico / Inmunotoxigenica</w:t>
            </w:r>
            <w:r w:rsidRPr="00C66404">
              <w:rPr>
                <w:color w:val="000000"/>
                <w:sz w:val="22"/>
                <w:lang w:eastAsia="es-CO" w:bidi="ar-SA"/>
              </w:rPr>
              <w:br/>
              <w:t>-Obesidad</w:t>
            </w:r>
            <w:r w:rsidRPr="00C66404">
              <w:rPr>
                <w:color w:val="000000"/>
                <w:sz w:val="22"/>
                <w:lang w:eastAsia="es-CO" w:bidi="ar-SA"/>
              </w:rPr>
              <w:br/>
              <w:t>-Genotóxicos (Daños en las células)</w:t>
            </w:r>
            <w:r w:rsidRPr="00C66404">
              <w:rPr>
                <w:color w:val="000000"/>
                <w:sz w:val="22"/>
                <w:lang w:eastAsia="es-CO" w:bidi="ar-SA"/>
              </w:rPr>
              <w:br/>
              <w:t>-Efectos citotóxicos</w:t>
            </w:r>
          </w:p>
        </w:tc>
      </w:tr>
      <w:tr w:rsidR="00F95CBD" w:rsidRPr="00C66404" w:rsidTr="00F95CBD">
        <w:trPr>
          <w:trHeight w:val="1200"/>
          <w:jc w:val="center"/>
        </w:trPr>
        <w:tc>
          <w:tcPr>
            <w:tcW w:w="5387" w:type="dxa"/>
            <w:tcBorders>
              <w:top w:val="nil"/>
              <w:left w:val="nil"/>
              <w:bottom w:val="single" w:sz="4" w:space="0" w:color="auto"/>
              <w:right w:val="nil"/>
            </w:tcBorders>
            <w:shd w:val="clear" w:color="auto" w:fill="F2F2F2"/>
            <w:vAlign w:val="center"/>
            <w:hideMark/>
          </w:tcPr>
          <w:p w:rsidR="00F95CBD" w:rsidRPr="00C66404" w:rsidRDefault="006533E2" w:rsidP="006533E2">
            <w:pPr>
              <w:spacing w:before="0" w:after="0"/>
              <w:jc w:val="left"/>
              <w:rPr>
                <w:color w:val="000000"/>
                <w:sz w:val="22"/>
                <w:lang w:eastAsia="es-CO" w:bidi="ar-SA"/>
              </w:rPr>
            </w:pPr>
            <w:r w:rsidRPr="006533E2">
              <w:rPr>
                <w:color w:val="000000"/>
                <w:sz w:val="22"/>
                <w:lang w:eastAsia="es-CO" w:bidi="ar-SA"/>
              </w:rPr>
              <w:t xml:space="preserve">*Shrestha, S. </w:t>
            </w:r>
            <w:r w:rsidR="00F95CBD" w:rsidRPr="00C66404">
              <w:rPr>
                <w:color w:val="000000"/>
                <w:sz w:val="22"/>
                <w:lang w:eastAsia="es-CO" w:bidi="ar-SA"/>
              </w:rPr>
              <w:t>*Beane Freeman, L.E. *Blair, A. *Chen, H. *Hofmann, J.N. *Parks, C.G. *Richards-Barber, M. *Sandler, D.P. *Umbach, D.M.</w:t>
            </w:r>
          </w:p>
        </w:tc>
        <w:tc>
          <w:tcPr>
            <w:tcW w:w="2646" w:type="dxa"/>
            <w:tcBorders>
              <w:top w:val="nil"/>
              <w:left w:val="nil"/>
              <w:bottom w:val="single" w:sz="4" w:space="0" w:color="auto"/>
              <w:right w:val="nil"/>
            </w:tcBorders>
            <w:shd w:val="clear" w:color="auto" w:fill="F2F2F2"/>
            <w:noWrap/>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Parkinson </w:t>
            </w:r>
          </w:p>
        </w:tc>
      </w:tr>
    </w:tbl>
    <w:p w:rsidR="00F95CBD" w:rsidRDefault="00F95CBD"/>
    <w:p w:rsidR="00F95CBD" w:rsidRDefault="00F95CBD" w:rsidP="00F95CBD">
      <w:pPr>
        <w:spacing w:before="0" w:after="160" w:line="360" w:lineRule="auto"/>
        <w:jc w:val="center"/>
        <w:rPr>
          <w:b/>
          <w:sz w:val="22"/>
        </w:rPr>
      </w:pPr>
      <w:r>
        <w:rPr>
          <w:b/>
          <w:sz w:val="22"/>
        </w:rPr>
        <w:lastRenderedPageBreak/>
        <w:t>Continuación Tabla 3</w:t>
      </w:r>
    </w:p>
    <w:p w:rsidR="00F95CBD" w:rsidRPr="00F95CBD" w:rsidRDefault="00F95CBD" w:rsidP="00F95CBD">
      <w:pPr>
        <w:spacing w:before="0" w:after="160" w:line="360" w:lineRule="auto"/>
        <w:ind w:left="-142"/>
        <w:jc w:val="center"/>
        <w:rPr>
          <w:sz w:val="22"/>
        </w:rPr>
      </w:pPr>
      <w:r>
        <w:rPr>
          <w:sz w:val="22"/>
        </w:rPr>
        <w:t>Afectaciones del glifosato en la salud según cada artículo</w:t>
      </w:r>
    </w:p>
    <w:tbl>
      <w:tblPr>
        <w:tblW w:w="8033" w:type="dxa"/>
        <w:jc w:val="center"/>
        <w:tblCellMar>
          <w:left w:w="70" w:type="dxa"/>
          <w:right w:w="70" w:type="dxa"/>
        </w:tblCellMar>
        <w:tblLook w:val="04A0" w:firstRow="1" w:lastRow="0" w:firstColumn="1" w:lastColumn="0" w:noHBand="0" w:noVBand="1"/>
      </w:tblPr>
      <w:tblGrid>
        <w:gridCol w:w="5387"/>
        <w:gridCol w:w="2646"/>
      </w:tblGrid>
      <w:tr w:rsidR="00F95CBD" w:rsidRPr="00C66404" w:rsidTr="00F95CBD">
        <w:trPr>
          <w:trHeight w:val="767"/>
          <w:jc w:val="center"/>
        </w:trPr>
        <w:tc>
          <w:tcPr>
            <w:tcW w:w="5387" w:type="dxa"/>
            <w:tcBorders>
              <w:top w:val="single" w:sz="4" w:space="0" w:color="auto"/>
              <w:left w:val="nil"/>
              <w:bottom w:val="nil"/>
              <w:right w:val="nil"/>
            </w:tcBorders>
            <w:shd w:val="clear" w:color="auto" w:fill="auto"/>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Autores</w:t>
            </w:r>
          </w:p>
        </w:tc>
        <w:tc>
          <w:tcPr>
            <w:tcW w:w="2646" w:type="dxa"/>
            <w:tcBorders>
              <w:top w:val="single" w:sz="4" w:space="0" w:color="auto"/>
              <w:left w:val="nil"/>
              <w:bottom w:val="nil"/>
              <w:right w:val="nil"/>
            </w:tcBorders>
            <w:shd w:val="clear" w:color="000000" w:fill="FFFFFF"/>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Afectación  en la Salud</w:t>
            </w:r>
          </w:p>
        </w:tc>
      </w:tr>
      <w:tr w:rsidR="00F95CBD" w:rsidRPr="00C66404" w:rsidTr="00F95CBD">
        <w:trPr>
          <w:trHeight w:val="1200"/>
          <w:jc w:val="center"/>
        </w:trPr>
        <w:tc>
          <w:tcPr>
            <w:tcW w:w="5387" w:type="dxa"/>
            <w:tcBorders>
              <w:top w:val="single" w:sz="4" w:space="0" w:color="auto"/>
              <w:left w:val="nil"/>
              <w:bottom w:val="nil"/>
              <w:right w:val="nil"/>
            </w:tcBorders>
            <w:shd w:val="clear" w:color="auto" w:fill="F2F2F2"/>
            <w:vAlign w:val="center"/>
            <w:hideMark/>
          </w:tcPr>
          <w:p w:rsidR="00F95CBD" w:rsidRPr="00C66404" w:rsidRDefault="006533E2" w:rsidP="006533E2">
            <w:pPr>
              <w:spacing w:before="0" w:after="0"/>
              <w:jc w:val="left"/>
              <w:rPr>
                <w:color w:val="000000"/>
                <w:sz w:val="22"/>
                <w:lang w:eastAsia="es-CO" w:bidi="ar-SA"/>
              </w:rPr>
            </w:pPr>
            <w:r w:rsidRPr="006533E2">
              <w:rPr>
                <w:color w:val="000000"/>
                <w:sz w:val="22"/>
                <w:lang w:eastAsia="es-CO" w:bidi="ar-SA"/>
              </w:rPr>
              <w:t>*Schaeffer, J.W.</w:t>
            </w:r>
            <w:r>
              <w:rPr>
                <w:color w:val="000000"/>
                <w:sz w:val="22"/>
                <w:lang w:eastAsia="es-CO" w:bidi="ar-SA"/>
              </w:rPr>
              <w:t xml:space="preserve"> </w:t>
            </w:r>
            <w:r w:rsidR="00F95CBD" w:rsidRPr="00C66404">
              <w:rPr>
                <w:color w:val="000000"/>
                <w:sz w:val="22"/>
                <w:lang w:eastAsia="es-CO" w:bidi="ar-SA"/>
              </w:rPr>
              <w:t xml:space="preserve">*Adgate, J.L. *Butler-Dawson, J. *Dally, M. *James, K.A. *Jaramillo, D. *Johnson, R.J. *Krisher, L. *Newman, L.S. *Reynolds, S.J. </w:t>
            </w:r>
          </w:p>
        </w:tc>
        <w:tc>
          <w:tcPr>
            <w:tcW w:w="2646" w:type="dxa"/>
            <w:tcBorders>
              <w:top w:val="single" w:sz="4" w:space="0" w:color="auto"/>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Efectos Nefrotóxicos</w:t>
            </w:r>
            <w:r w:rsidRPr="00C66404">
              <w:rPr>
                <w:color w:val="000000"/>
                <w:sz w:val="22"/>
                <w:lang w:eastAsia="es-CO" w:bidi="ar-SA"/>
              </w:rPr>
              <w:br/>
              <w:t>-Enfermedad Renal Crónica de origen desconocido (CKDu)</w:t>
            </w:r>
          </w:p>
        </w:tc>
      </w:tr>
      <w:tr w:rsidR="00F95CBD" w:rsidRPr="00C66404" w:rsidTr="00F95CBD">
        <w:trPr>
          <w:trHeight w:val="1200"/>
          <w:jc w:val="center"/>
        </w:trPr>
        <w:tc>
          <w:tcPr>
            <w:tcW w:w="5387" w:type="dxa"/>
            <w:tcBorders>
              <w:top w:val="nil"/>
              <w:left w:val="nil"/>
              <w:bottom w:val="nil"/>
              <w:right w:val="nil"/>
            </w:tcBorders>
            <w:shd w:val="clear" w:color="auto" w:fill="auto"/>
            <w:vAlign w:val="center"/>
            <w:hideMark/>
          </w:tcPr>
          <w:p w:rsidR="00F95CBD" w:rsidRPr="00C66404" w:rsidRDefault="006533E2" w:rsidP="006533E2">
            <w:pPr>
              <w:spacing w:before="0" w:after="0"/>
              <w:jc w:val="left"/>
              <w:rPr>
                <w:color w:val="000000"/>
                <w:sz w:val="22"/>
                <w:lang w:eastAsia="es-CO" w:bidi="ar-SA"/>
              </w:rPr>
            </w:pPr>
            <w:r w:rsidRPr="006533E2">
              <w:rPr>
                <w:color w:val="000000"/>
                <w:sz w:val="22"/>
                <w:lang w:eastAsia="es-CO" w:bidi="ar-SA"/>
              </w:rPr>
              <w:t xml:space="preserve">*Mueangkhiao, P. </w:t>
            </w:r>
            <w:r w:rsidR="00F95CBD" w:rsidRPr="00C66404">
              <w:rPr>
                <w:color w:val="000000"/>
                <w:sz w:val="22"/>
                <w:lang w:eastAsia="es-CO" w:bidi="ar-SA"/>
              </w:rPr>
              <w:t>*Jaikwang, P. *Khacha-ananda, S. *Lungkaphin, A. *Sapbamrer, R. *Seesen, M. *Siviroj, P. *Wunnapuk, K.</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Aumento del Síndrome</w:t>
            </w:r>
            <w:r w:rsidRPr="00C66404">
              <w:rPr>
                <w:color w:val="000000"/>
                <w:sz w:val="22"/>
                <w:lang w:eastAsia="es-CO" w:bidi="ar-SA"/>
              </w:rPr>
              <w:br/>
              <w:t xml:space="preserve"> Cardio Renal (sCr)</w:t>
            </w:r>
          </w:p>
        </w:tc>
      </w:tr>
      <w:tr w:rsidR="00F95CBD" w:rsidRPr="00C66404" w:rsidTr="00F95CBD">
        <w:trPr>
          <w:trHeight w:val="900"/>
          <w:jc w:val="center"/>
        </w:trPr>
        <w:tc>
          <w:tcPr>
            <w:tcW w:w="5387"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*Gillezeau, C. *Lieberman-Cribbin, W. *Taioli, E.</w:t>
            </w:r>
          </w:p>
        </w:tc>
        <w:tc>
          <w:tcPr>
            <w:tcW w:w="2646"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-Lesiones Renales / Daños Renales</w:t>
            </w:r>
            <w:r w:rsidRPr="00C66404">
              <w:rPr>
                <w:color w:val="000000"/>
                <w:sz w:val="22"/>
                <w:lang w:eastAsia="es-CO" w:bidi="ar-SA"/>
              </w:rPr>
              <w:br/>
              <w:t>- Pontencial generador de cáncer</w:t>
            </w:r>
            <w:r w:rsidRPr="00C66404">
              <w:rPr>
                <w:color w:val="000000"/>
                <w:sz w:val="22"/>
                <w:lang w:eastAsia="es-CO" w:bidi="ar-SA"/>
              </w:rPr>
              <w:br/>
              <w:t>-Linfoma no Hodking</w:t>
            </w:r>
          </w:p>
        </w:tc>
      </w:tr>
      <w:tr w:rsidR="00F95CBD" w:rsidRPr="00C66404" w:rsidTr="00F95CBD">
        <w:trPr>
          <w:trHeight w:val="900"/>
          <w:jc w:val="center"/>
        </w:trPr>
        <w:tc>
          <w:tcPr>
            <w:tcW w:w="5387" w:type="dxa"/>
            <w:tcBorders>
              <w:top w:val="nil"/>
              <w:left w:val="nil"/>
              <w:bottom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*Nankongnab, N. *Kongtip, P. *Kallayanatham, N. *Pundee, R. *Yimsabai, J. *Woskie, S.</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Aumento de hormonas TSH, T3</w:t>
            </w:r>
          </w:p>
        </w:tc>
      </w:tr>
      <w:tr w:rsidR="00F95CBD" w:rsidRPr="00C66404" w:rsidTr="00F95CBD">
        <w:trPr>
          <w:trHeight w:val="1800"/>
          <w:jc w:val="center"/>
        </w:trPr>
        <w:tc>
          <w:tcPr>
            <w:tcW w:w="5387"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*Barbasz, A. *Czyżowska, A. *Kreczmer, B. *Skórka, M.</w:t>
            </w:r>
          </w:p>
        </w:tc>
        <w:tc>
          <w:tcPr>
            <w:tcW w:w="2646"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Toxicidad en las células del sistema Inmunológico / Inmunotoxigénicos </w:t>
            </w:r>
            <w:r w:rsidRPr="00C66404">
              <w:rPr>
                <w:color w:val="000000"/>
                <w:sz w:val="22"/>
                <w:lang w:eastAsia="es-CO" w:bidi="ar-SA"/>
              </w:rPr>
              <w:br/>
              <w:t>-Toxicidad en células placentarias y embrionarias de las personas</w:t>
            </w:r>
            <w:r w:rsidRPr="00C66404">
              <w:rPr>
                <w:color w:val="000000"/>
                <w:sz w:val="22"/>
                <w:lang w:eastAsia="es-CO" w:bidi="ar-SA"/>
              </w:rPr>
              <w:br/>
              <w:t>-Estrés oxidativo</w:t>
            </w:r>
            <w:r w:rsidRPr="00C66404">
              <w:rPr>
                <w:color w:val="000000"/>
                <w:sz w:val="22"/>
                <w:lang w:eastAsia="es-CO" w:bidi="ar-SA"/>
              </w:rPr>
              <w:br/>
              <w:t>-Daños en las mitocondrias</w:t>
            </w:r>
          </w:p>
        </w:tc>
      </w:tr>
      <w:tr w:rsidR="00F95CBD" w:rsidRPr="00C66404" w:rsidTr="00F95CBD">
        <w:trPr>
          <w:trHeight w:val="600"/>
          <w:jc w:val="center"/>
        </w:trPr>
        <w:tc>
          <w:tcPr>
            <w:tcW w:w="5387" w:type="dxa"/>
            <w:tcBorders>
              <w:top w:val="nil"/>
              <w:left w:val="nil"/>
              <w:bottom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*Caye, J.L. *Endruweit Battisti, I.D. *Frank, J.G. *Mattiazzi, Â.L.</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Perdida en la capacidad auditiva</w:t>
            </w:r>
          </w:p>
        </w:tc>
      </w:tr>
      <w:tr w:rsidR="00F95CBD" w:rsidRPr="00C66404" w:rsidTr="00F95CBD">
        <w:trPr>
          <w:trHeight w:val="1200"/>
          <w:jc w:val="center"/>
        </w:trPr>
        <w:tc>
          <w:tcPr>
            <w:tcW w:w="5387" w:type="dxa"/>
            <w:tcBorders>
              <w:top w:val="nil"/>
              <w:left w:val="nil"/>
              <w:bottom w:val="nil"/>
              <w:right w:val="nil"/>
            </w:tcBorders>
            <w:shd w:val="clear" w:color="auto" w:fill="F2F2F2"/>
            <w:vAlign w:val="center"/>
            <w:hideMark/>
          </w:tcPr>
          <w:p w:rsidR="00F95CBD" w:rsidRPr="00C66404" w:rsidRDefault="006533E2" w:rsidP="006533E2">
            <w:pPr>
              <w:spacing w:before="0" w:after="0"/>
              <w:jc w:val="left"/>
              <w:rPr>
                <w:color w:val="000000"/>
                <w:sz w:val="22"/>
                <w:lang w:eastAsia="es-CO" w:bidi="ar-SA"/>
              </w:rPr>
            </w:pPr>
            <w:r w:rsidRPr="006533E2">
              <w:rPr>
                <w:color w:val="000000"/>
                <w:sz w:val="22"/>
                <w:lang w:eastAsia="es-CO" w:bidi="ar-SA"/>
              </w:rPr>
              <w:t xml:space="preserve">*Salazar-Flores, J. </w:t>
            </w:r>
            <w:r w:rsidR="00F95CBD" w:rsidRPr="00C66404">
              <w:rPr>
                <w:color w:val="000000"/>
                <w:sz w:val="22"/>
                <w:lang w:eastAsia="es-CO" w:bidi="ar-SA"/>
              </w:rPr>
              <w:t>*Briones-Torres, A.L. *Ortiz, G.G. *Pacheco-Moisés, F.P. *Romero-Rentería, O. *Torres-Jasso, J.H. *Torres-Sánchez, E.D.</w:t>
            </w:r>
          </w:p>
        </w:tc>
        <w:tc>
          <w:tcPr>
            <w:tcW w:w="2646"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Estrés Oxidativo </w:t>
            </w:r>
          </w:p>
        </w:tc>
      </w:tr>
      <w:tr w:rsidR="00F95CBD" w:rsidRPr="00C66404" w:rsidTr="00F95CBD">
        <w:trPr>
          <w:trHeight w:val="1200"/>
          <w:jc w:val="center"/>
        </w:trPr>
        <w:tc>
          <w:tcPr>
            <w:tcW w:w="5387" w:type="dxa"/>
            <w:tcBorders>
              <w:top w:val="nil"/>
              <w:left w:val="nil"/>
              <w:right w:val="nil"/>
            </w:tcBorders>
            <w:shd w:val="clear" w:color="auto" w:fill="auto"/>
            <w:vAlign w:val="center"/>
            <w:hideMark/>
          </w:tcPr>
          <w:p w:rsidR="00F95CBD" w:rsidRPr="00C66404" w:rsidRDefault="006533E2" w:rsidP="006533E2">
            <w:pPr>
              <w:spacing w:before="0" w:after="0"/>
              <w:jc w:val="left"/>
              <w:rPr>
                <w:color w:val="000000"/>
                <w:sz w:val="22"/>
                <w:lang w:eastAsia="es-CO" w:bidi="ar-SA"/>
              </w:rPr>
            </w:pPr>
            <w:r w:rsidRPr="006533E2">
              <w:rPr>
                <w:color w:val="000000"/>
                <w:sz w:val="22"/>
                <w:lang w:eastAsia="es-CO" w:bidi="ar-SA"/>
              </w:rPr>
              <w:t xml:space="preserve">*Amoatey, P. </w:t>
            </w:r>
            <w:r w:rsidR="00F95CBD" w:rsidRPr="00C66404">
              <w:rPr>
                <w:color w:val="000000"/>
                <w:sz w:val="22"/>
                <w:lang w:eastAsia="es-CO" w:bidi="ar-SA"/>
              </w:rPr>
              <w:t>*Al-Mayahi, A. *Baawain, M.S. *Omidvarborna, H. *Sulaiman, H.</w:t>
            </w:r>
          </w:p>
        </w:tc>
        <w:tc>
          <w:tcPr>
            <w:tcW w:w="2646" w:type="dxa"/>
            <w:tcBorders>
              <w:top w:val="nil"/>
              <w:left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Trastornos reproductivos </w:t>
            </w:r>
            <w:r w:rsidRPr="00C66404">
              <w:rPr>
                <w:color w:val="000000"/>
                <w:sz w:val="22"/>
                <w:lang w:eastAsia="es-CO" w:bidi="ar-SA"/>
              </w:rPr>
              <w:br/>
              <w:t>- Dificultades respiratorias</w:t>
            </w:r>
            <w:r w:rsidRPr="00C66404">
              <w:rPr>
                <w:color w:val="000000"/>
                <w:sz w:val="22"/>
                <w:lang w:eastAsia="es-CO" w:bidi="ar-SA"/>
              </w:rPr>
              <w:br/>
              <w:t>-  Alteraciones neurológicas</w:t>
            </w:r>
            <w:r w:rsidRPr="00C66404">
              <w:rPr>
                <w:color w:val="000000"/>
                <w:sz w:val="22"/>
                <w:lang w:eastAsia="es-CO" w:bidi="ar-SA"/>
              </w:rPr>
              <w:br/>
              <w:t xml:space="preserve">-   Irritaciones en la piel </w:t>
            </w:r>
          </w:p>
        </w:tc>
      </w:tr>
      <w:tr w:rsidR="00F95CBD" w:rsidRPr="00C66404" w:rsidTr="00F95CBD">
        <w:trPr>
          <w:trHeight w:val="1800"/>
          <w:jc w:val="center"/>
        </w:trPr>
        <w:tc>
          <w:tcPr>
            <w:tcW w:w="5387" w:type="dxa"/>
            <w:tcBorders>
              <w:top w:val="nil"/>
              <w:left w:val="nil"/>
              <w:bottom w:val="single" w:sz="4" w:space="0" w:color="auto"/>
              <w:right w:val="nil"/>
            </w:tcBorders>
            <w:shd w:val="clear" w:color="auto" w:fill="F2F2F2"/>
            <w:vAlign w:val="center"/>
            <w:hideMark/>
          </w:tcPr>
          <w:p w:rsidR="00F95CBD" w:rsidRPr="00C66404" w:rsidRDefault="00B27775" w:rsidP="00B27775">
            <w:pPr>
              <w:spacing w:before="0" w:after="0"/>
              <w:jc w:val="left"/>
              <w:rPr>
                <w:color w:val="000000"/>
                <w:sz w:val="22"/>
                <w:lang w:eastAsia="es-CO" w:bidi="ar-SA"/>
              </w:rPr>
            </w:pPr>
            <w:r w:rsidRPr="00B27775">
              <w:rPr>
                <w:color w:val="000000"/>
                <w:sz w:val="22"/>
                <w:lang w:eastAsia="es-CO" w:bidi="ar-SA"/>
              </w:rPr>
              <w:t xml:space="preserve">*Fuhrimann, S. </w:t>
            </w:r>
            <w:r w:rsidR="00F95CBD" w:rsidRPr="00C66404">
              <w:rPr>
                <w:color w:val="000000"/>
                <w:sz w:val="22"/>
                <w:lang w:eastAsia="es-CO" w:bidi="ar-SA"/>
              </w:rPr>
              <w:t>*Atuhaire, A. *Farnham, A. *Kromhout, H. *Manfioletti, T. *Mora, A.M. *Mugweri, J. *Namirembe, S. *Niwagaba, C.B. *Portengen, L. *Staudacher, P. *Winkler, M.S.</w:t>
            </w:r>
          </w:p>
        </w:tc>
        <w:tc>
          <w:tcPr>
            <w:tcW w:w="2646" w:type="dxa"/>
            <w:tcBorders>
              <w:top w:val="nil"/>
              <w:left w:val="nil"/>
              <w:bottom w:val="single" w:sz="4" w:space="0" w:color="auto"/>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Deterioro de la memoria Visual </w:t>
            </w:r>
            <w:r w:rsidRPr="00C66404">
              <w:rPr>
                <w:color w:val="000000"/>
                <w:sz w:val="22"/>
                <w:lang w:eastAsia="es-CO" w:bidi="ar-SA"/>
              </w:rPr>
              <w:br/>
              <w:t>-Toxicidad en el sistema nervioso central</w:t>
            </w:r>
            <w:r w:rsidRPr="00C66404">
              <w:rPr>
                <w:color w:val="000000"/>
                <w:sz w:val="22"/>
                <w:lang w:eastAsia="es-CO" w:bidi="ar-SA"/>
              </w:rPr>
              <w:br/>
              <w:t>-Trastorno del espectro Autista</w:t>
            </w:r>
          </w:p>
        </w:tc>
      </w:tr>
    </w:tbl>
    <w:p w:rsidR="00F95CBD" w:rsidRDefault="00F95CBD" w:rsidP="00F95CBD">
      <w:pPr>
        <w:spacing w:before="0" w:after="160" w:line="360" w:lineRule="auto"/>
        <w:jc w:val="center"/>
        <w:rPr>
          <w:b/>
          <w:sz w:val="22"/>
        </w:rPr>
      </w:pPr>
    </w:p>
    <w:p w:rsidR="00F95CBD" w:rsidRDefault="00F95CBD" w:rsidP="00F95CBD">
      <w:pPr>
        <w:spacing w:before="0" w:after="160" w:line="360" w:lineRule="auto"/>
        <w:jc w:val="center"/>
        <w:rPr>
          <w:b/>
          <w:sz w:val="22"/>
        </w:rPr>
      </w:pPr>
      <w:r>
        <w:rPr>
          <w:b/>
          <w:sz w:val="22"/>
        </w:rPr>
        <w:lastRenderedPageBreak/>
        <w:t>Continuación Tabla 3</w:t>
      </w:r>
    </w:p>
    <w:p w:rsidR="00F95CBD" w:rsidRPr="00F95CBD" w:rsidRDefault="00F95CBD" w:rsidP="00F95CBD">
      <w:pPr>
        <w:spacing w:before="0" w:after="160" w:line="360" w:lineRule="auto"/>
        <w:ind w:left="-142"/>
        <w:jc w:val="center"/>
        <w:rPr>
          <w:sz w:val="22"/>
        </w:rPr>
      </w:pPr>
      <w:r>
        <w:rPr>
          <w:sz w:val="22"/>
        </w:rPr>
        <w:t>Afectaciones del glifosato en la salud según cada artículo</w:t>
      </w:r>
    </w:p>
    <w:tbl>
      <w:tblPr>
        <w:tblW w:w="8033" w:type="dxa"/>
        <w:jc w:val="center"/>
        <w:tblCellMar>
          <w:left w:w="70" w:type="dxa"/>
          <w:right w:w="70" w:type="dxa"/>
        </w:tblCellMar>
        <w:tblLook w:val="04A0" w:firstRow="1" w:lastRow="0" w:firstColumn="1" w:lastColumn="0" w:noHBand="0" w:noVBand="1"/>
      </w:tblPr>
      <w:tblGrid>
        <w:gridCol w:w="5387"/>
        <w:gridCol w:w="2646"/>
      </w:tblGrid>
      <w:tr w:rsidR="00F95CBD" w:rsidRPr="00C66404" w:rsidTr="00F95CBD">
        <w:trPr>
          <w:trHeight w:val="786"/>
          <w:jc w:val="center"/>
        </w:trPr>
        <w:tc>
          <w:tcPr>
            <w:tcW w:w="5387" w:type="dxa"/>
            <w:tcBorders>
              <w:top w:val="single" w:sz="4" w:space="0" w:color="auto"/>
              <w:left w:val="nil"/>
              <w:bottom w:val="nil"/>
              <w:right w:val="nil"/>
            </w:tcBorders>
            <w:shd w:val="clear" w:color="auto" w:fill="auto"/>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Autores</w:t>
            </w:r>
          </w:p>
        </w:tc>
        <w:tc>
          <w:tcPr>
            <w:tcW w:w="2646" w:type="dxa"/>
            <w:tcBorders>
              <w:top w:val="single" w:sz="4" w:space="0" w:color="auto"/>
              <w:left w:val="nil"/>
              <w:bottom w:val="nil"/>
              <w:right w:val="nil"/>
            </w:tcBorders>
            <w:shd w:val="clear" w:color="000000" w:fill="FFFFFF"/>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Afectación  en la Salud</w:t>
            </w:r>
          </w:p>
        </w:tc>
      </w:tr>
      <w:tr w:rsidR="00F95CBD" w:rsidRPr="00C66404" w:rsidTr="00F95CBD">
        <w:trPr>
          <w:trHeight w:val="3300"/>
          <w:jc w:val="center"/>
        </w:trPr>
        <w:tc>
          <w:tcPr>
            <w:tcW w:w="5387" w:type="dxa"/>
            <w:tcBorders>
              <w:top w:val="single" w:sz="4" w:space="0" w:color="auto"/>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*Abdul, K.S.M. *Asanthi, H.B. *Chaminda, G.G.T. *Chandana, E.P.S. *De Silva, P.M.C.S. *Ekanayake, E.M.D.V. *Gunarathna, S.D. *Gunasekara, T.D.K.S.C. *Jayasinghe, S.S. *Jayasundara, N. *Siribaddana, S.H. *Thakshila, W.A.K.G.</w:t>
            </w:r>
          </w:p>
        </w:tc>
        <w:tc>
          <w:tcPr>
            <w:tcW w:w="2646" w:type="dxa"/>
            <w:tcBorders>
              <w:top w:val="single" w:sz="4" w:space="0" w:color="auto"/>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Trastorno del espectro Autista</w:t>
            </w:r>
            <w:r w:rsidRPr="00C66404">
              <w:rPr>
                <w:color w:val="000000"/>
                <w:sz w:val="22"/>
                <w:lang w:eastAsia="es-CO" w:bidi="ar-SA"/>
              </w:rPr>
              <w:br/>
              <w:t>-Alzheimer</w:t>
            </w:r>
            <w:r w:rsidRPr="00C66404">
              <w:rPr>
                <w:color w:val="000000"/>
                <w:sz w:val="22"/>
                <w:lang w:eastAsia="es-CO" w:bidi="ar-SA"/>
              </w:rPr>
              <w:br/>
              <w:t>-Parkinson</w:t>
            </w:r>
            <w:r w:rsidRPr="00C66404">
              <w:rPr>
                <w:color w:val="000000"/>
                <w:sz w:val="22"/>
                <w:lang w:eastAsia="es-CO" w:bidi="ar-SA"/>
              </w:rPr>
              <w:br/>
              <w:t>-Alteración en marcadores renales ACR,TFGe,NGAL (Indicadores de lesión renal inducida)</w:t>
            </w:r>
            <w:r w:rsidRPr="00C66404">
              <w:rPr>
                <w:color w:val="000000"/>
                <w:sz w:val="22"/>
                <w:lang w:eastAsia="es-CO" w:bidi="ar-SA"/>
              </w:rPr>
              <w:br/>
              <w:t>-Enfermedades gastrointestinales</w:t>
            </w:r>
            <w:r w:rsidRPr="00C66404">
              <w:rPr>
                <w:color w:val="000000"/>
                <w:sz w:val="22"/>
                <w:lang w:eastAsia="es-CO" w:bidi="ar-SA"/>
              </w:rPr>
              <w:br/>
              <w:t>-Disfunciones endocrinas</w:t>
            </w:r>
            <w:r w:rsidRPr="00C66404">
              <w:rPr>
                <w:color w:val="000000"/>
                <w:sz w:val="22"/>
                <w:lang w:eastAsia="es-CO" w:bidi="ar-SA"/>
              </w:rPr>
              <w:br/>
              <w:t>-Enfermedades cardiovasculares</w:t>
            </w:r>
            <w:r w:rsidRPr="00C66404">
              <w:rPr>
                <w:color w:val="000000"/>
                <w:sz w:val="22"/>
                <w:lang w:eastAsia="es-CO" w:bidi="ar-SA"/>
              </w:rPr>
              <w:br/>
              <w:t>-Generador de cáncer</w:t>
            </w:r>
            <w:r w:rsidRPr="00C66404">
              <w:rPr>
                <w:color w:val="000000"/>
                <w:sz w:val="22"/>
                <w:lang w:eastAsia="es-CO" w:bidi="ar-SA"/>
              </w:rPr>
              <w:br/>
              <w:t>-Infertilidad</w:t>
            </w:r>
          </w:p>
        </w:tc>
      </w:tr>
      <w:tr w:rsidR="00F95CBD" w:rsidRPr="00C66404" w:rsidTr="00F95CBD">
        <w:trPr>
          <w:trHeight w:val="900"/>
          <w:jc w:val="center"/>
        </w:trPr>
        <w:tc>
          <w:tcPr>
            <w:tcW w:w="5387" w:type="dxa"/>
            <w:tcBorders>
              <w:top w:val="nil"/>
              <w:left w:val="nil"/>
              <w:bottom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*Alavanja, M.C.R. *Blair, A. *Chen, H. *Freeman, L.E.B. *Koutros, S. *Sandler, D.P. *Shrestha, S. *Umbach, D.M.</w:t>
            </w:r>
          </w:p>
        </w:tc>
        <w:tc>
          <w:tcPr>
            <w:tcW w:w="2646" w:type="dxa"/>
            <w:tcBorders>
              <w:top w:val="nil"/>
              <w:left w:val="nil"/>
              <w:bottom w:val="nil"/>
              <w:right w:val="nil"/>
            </w:tcBorders>
            <w:shd w:val="clear" w:color="000000" w:fill="FFFFFF"/>
            <w:noWrap/>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Deterioro Olfativo </w:t>
            </w:r>
          </w:p>
        </w:tc>
      </w:tr>
      <w:tr w:rsidR="00F95CBD" w:rsidRPr="00C66404" w:rsidTr="00F95CBD">
        <w:trPr>
          <w:trHeight w:val="2100"/>
          <w:jc w:val="center"/>
        </w:trPr>
        <w:tc>
          <w:tcPr>
            <w:tcW w:w="5387" w:type="dxa"/>
            <w:tcBorders>
              <w:top w:val="nil"/>
              <w:left w:val="nil"/>
              <w:bottom w:val="nil"/>
              <w:right w:val="nil"/>
            </w:tcBorders>
            <w:shd w:val="clear" w:color="auto" w:fill="F2F2F2"/>
            <w:vAlign w:val="center"/>
            <w:hideMark/>
          </w:tcPr>
          <w:p w:rsidR="00F95CBD" w:rsidRPr="00C66404" w:rsidRDefault="00B27775" w:rsidP="00B27775">
            <w:pPr>
              <w:spacing w:before="0" w:after="0"/>
              <w:jc w:val="left"/>
              <w:rPr>
                <w:color w:val="000000"/>
                <w:sz w:val="22"/>
                <w:lang w:eastAsia="es-CO" w:bidi="ar-SA"/>
              </w:rPr>
            </w:pPr>
            <w:r w:rsidRPr="00B27775">
              <w:rPr>
                <w:color w:val="000000"/>
                <w:sz w:val="22"/>
                <w:lang w:eastAsia="es-CO" w:bidi="ar-SA"/>
              </w:rPr>
              <w:t xml:space="preserve">*Prudente, I.R.G. </w:t>
            </w:r>
            <w:r w:rsidR="00F95CBD" w:rsidRPr="00C66404">
              <w:rPr>
                <w:color w:val="000000"/>
                <w:sz w:val="22"/>
                <w:lang w:eastAsia="es-CO" w:bidi="ar-SA"/>
              </w:rPr>
              <w:t>*Alves, O. *Barreto, A.S. *Gonçalves, V.S.d.S. *Guimarães, A.G. *Kaiser, C.C. *Nascimento, L.d.C. *Pereira, F.A. *Rabelo, T.K. *Santos, A.C. *Santos, M.B. *Silva, D.S.d. *Souza, B.R.S. *Tavares, D.D.S. *de Rezende Neto, J.M.</w:t>
            </w:r>
          </w:p>
        </w:tc>
        <w:tc>
          <w:tcPr>
            <w:tcW w:w="2646" w:type="dxa"/>
            <w:tcBorders>
              <w:top w:val="nil"/>
              <w:left w:val="nil"/>
              <w:bottom w:val="nil"/>
              <w:right w:val="nil"/>
            </w:tcBorders>
            <w:shd w:val="clear" w:color="auto" w:fill="F2F2F2"/>
            <w:noWrap/>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Efectos Nefrotóxicos</w:t>
            </w:r>
          </w:p>
        </w:tc>
      </w:tr>
      <w:tr w:rsidR="00F95CBD" w:rsidRPr="00C66404" w:rsidTr="00F95CBD">
        <w:trPr>
          <w:trHeight w:val="2100"/>
          <w:jc w:val="center"/>
        </w:trPr>
        <w:tc>
          <w:tcPr>
            <w:tcW w:w="5387" w:type="dxa"/>
            <w:tcBorders>
              <w:top w:val="nil"/>
              <w:left w:val="nil"/>
              <w:bottom w:val="nil"/>
              <w:right w:val="nil"/>
            </w:tcBorders>
            <w:shd w:val="clear" w:color="auto" w:fill="auto"/>
            <w:vAlign w:val="center"/>
            <w:hideMark/>
          </w:tcPr>
          <w:p w:rsidR="00F95CBD" w:rsidRPr="00C66404" w:rsidRDefault="00B27775" w:rsidP="00B27775">
            <w:pPr>
              <w:spacing w:before="0" w:after="0"/>
              <w:jc w:val="left"/>
              <w:rPr>
                <w:color w:val="000000"/>
                <w:sz w:val="22"/>
                <w:lang w:eastAsia="es-CO" w:bidi="ar-SA"/>
              </w:rPr>
            </w:pPr>
            <w:r w:rsidRPr="00B27775">
              <w:rPr>
                <w:color w:val="000000"/>
                <w:sz w:val="22"/>
                <w:lang w:eastAsia="es-CO" w:bidi="ar-SA"/>
              </w:rPr>
              <w:t xml:space="preserve">*Kongtip, P. </w:t>
            </w:r>
            <w:r w:rsidR="00F95CBD" w:rsidRPr="00C66404">
              <w:rPr>
                <w:color w:val="000000"/>
                <w:sz w:val="22"/>
                <w:lang w:eastAsia="es-CO" w:bidi="ar-SA"/>
              </w:rPr>
              <w:t>*Choochouy, N. *Chungcharoen, J. *Kallayanatham, N. *Khangkhun, P. *Konthonbut, P. *Nankongnab, N. *Pengpumkiat, S. *Phommalachai, C. *Pundee, R. *Sowanthip, P. *Woskie, S. *Yimsabai, J.</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Insuficiencia Renal </w:t>
            </w:r>
            <w:r w:rsidRPr="00C66404">
              <w:rPr>
                <w:color w:val="000000"/>
                <w:sz w:val="22"/>
                <w:lang w:eastAsia="es-CO" w:bidi="ar-SA"/>
              </w:rPr>
              <w:br/>
              <w:t>-Aumento de la hormona Tiroxina (T4), alteración en el sistema endocrino</w:t>
            </w:r>
            <w:r w:rsidRPr="00C66404">
              <w:rPr>
                <w:color w:val="000000"/>
                <w:sz w:val="22"/>
                <w:lang w:eastAsia="es-CO" w:bidi="ar-SA"/>
              </w:rPr>
              <w:br/>
              <w:t>-Hipotensión</w:t>
            </w:r>
            <w:r w:rsidRPr="00C66404">
              <w:rPr>
                <w:color w:val="000000"/>
                <w:sz w:val="22"/>
                <w:lang w:eastAsia="es-CO" w:bidi="ar-SA"/>
              </w:rPr>
              <w:br/>
              <w:t>-Taquicardia</w:t>
            </w:r>
            <w:r w:rsidRPr="00C66404">
              <w:rPr>
                <w:color w:val="000000"/>
                <w:sz w:val="22"/>
                <w:lang w:eastAsia="es-CO" w:bidi="ar-SA"/>
              </w:rPr>
              <w:br/>
              <w:t>-Dificultad respiratoria</w:t>
            </w:r>
            <w:r w:rsidRPr="00C66404">
              <w:rPr>
                <w:color w:val="000000"/>
                <w:sz w:val="22"/>
                <w:lang w:eastAsia="es-CO" w:bidi="ar-SA"/>
              </w:rPr>
              <w:br/>
              <w:t>-Desequilibrios electrolíticos</w:t>
            </w:r>
          </w:p>
        </w:tc>
      </w:tr>
      <w:tr w:rsidR="00F95CBD" w:rsidRPr="00C66404" w:rsidTr="00F95CBD">
        <w:trPr>
          <w:trHeight w:val="1200"/>
          <w:jc w:val="center"/>
        </w:trPr>
        <w:tc>
          <w:tcPr>
            <w:tcW w:w="5387" w:type="dxa"/>
            <w:tcBorders>
              <w:top w:val="nil"/>
              <w:left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*Fernández, J </w:t>
            </w:r>
            <w:r w:rsidR="00B27775">
              <w:rPr>
                <w:color w:val="000000"/>
                <w:sz w:val="22"/>
                <w:lang w:eastAsia="es-CO" w:bidi="ar-SA"/>
              </w:rPr>
              <w:t xml:space="preserve">*Plata, MK </w:t>
            </w:r>
            <w:r w:rsidRPr="00C66404">
              <w:rPr>
                <w:color w:val="000000"/>
                <w:sz w:val="22"/>
                <w:lang w:eastAsia="es-CO" w:bidi="ar-SA"/>
              </w:rPr>
              <w:t>*Tang, J *McDade, A *Sabino, J *Rosario, Z *Vélez Vega, C *Alshawabkeh, A *Cordero, JF *Meeker, JD</w:t>
            </w:r>
          </w:p>
        </w:tc>
        <w:tc>
          <w:tcPr>
            <w:tcW w:w="2646" w:type="dxa"/>
            <w:tcBorders>
              <w:top w:val="nil"/>
              <w:left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Reducción en los periodos de gestación </w:t>
            </w:r>
          </w:p>
        </w:tc>
      </w:tr>
      <w:tr w:rsidR="00F95CBD" w:rsidRPr="00C66404" w:rsidTr="00F95CBD">
        <w:trPr>
          <w:trHeight w:val="900"/>
          <w:jc w:val="center"/>
        </w:trPr>
        <w:tc>
          <w:tcPr>
            <w:tcW w:w="5387" w:type="dxa"/>
            <w:tcBorders>
              <w:top w:val="nil"/>
              <w:left w:val="nil"/>
              <w:bottom w:val="single" w:sz="4" w:space="0" w:color="auto"/>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*Hutter, H.P. *Kundi, M. *Lemmerer, K. *Moshammer, H. *Poteser, M. *Wallner, P. *Weitensfelder, L.</w:t>
            </w:r>
          </w:p>
        </w:tc>
        <w:tc>
          <w:tcPr>
            <w:tcW w:w="2646" w:type="dxa"/>
            <w:tcBorders>
              <w:top w:val="nil"/>
              <w:left w:val="nil"/>
              <w:bottom w:val="single" w:sz="4" w:space="0" w:color="auto"/>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Generador de Cáncer</w:t>
            </w:r>
            <w:r w:rsidRPr="00C66404">
              <w:rPr>
                <w:color w:val="000000"/>
                <w:sz w:val="22"/>
                <w:lang w:eastAsia="es-CO" w:bidi="ar-SA"/>
              </w:rPr>
              <w:br/>
              <w:t>-Malestar general físico</w:t>
            </w:r>
          </w:p>
        </w:tc>
      </w:tr>
    </w:tbl>
    <w:p w:rsidR="00F95CBD" w:rsidRDefault="00F95CBD" w:rsidP="00F95CBD">
      <w:pPr>
        <w:spacing w:before="0" w:after="160" w:line="360" w:lineRule="auto"/>
        <w:jc w:val="center"/>
        <w:rPr>
          <w:b/>
          <w:sz w:val="22"/>
        </w:rPr>
      </w:pPr>
    </w:p>
    <w:p w:rsidR="00F95CBD" w:rsidRDefault="00F95CBD" w:rsidP="00F95CBD">
      <w:pPr>
        <w:spacing w:before="0" w:after="160" w:line="360" w:lineRule="auto"/>
        <w:jc w:val="center"/>
        <w:rPr>
          <w:b/>
          <w:sz w:val="22"/>
        </w:rPr>
      </w:pPr>
      <w:r>
        <w:rPr>
          <w:b/>
          <w:sz w:val="22"/>
        </w:rPr>
        <w:lastRenderedPageBreak/>
        <w:t>Continuación Tabla 3</w:t>
      </w:r>
    </w:p>
    <w:p w:rsidR="00F95CBD" w:rsidRPr="00F95CBD" w:rsidRDefault="00F95CBD" w:rsidP="00F95CBD">
      <w:pPr>
        <w:spacing w:before="0" w:after="160" w:line="360" w:lineRule="auto"/>
        <w:ind w:left="-142"/>
        <w:jc w:val="center"/>
        <w:rPr>
          <w:sz w:val="22"/>
        </w:rPr>
      </w:pPr>
      <w:r>
        <w:rPr>
          <w:sz w:val="22"/>
        </w:rPr>
        <w:t>Afectaciones del glifosato en la salud según cada artículo</w:t>
      </w:r>
    </w:p>
    <w:tbl>
      <w:tblPr>
        <w:tblW w:w="8033" w:type="dxa"/>
        <w:jc w:val="center"/>
        <w:tblCellMar>
          <w:left w:w="70" w:type="dxa"/>
          <w:right w:w="70" w:type="dxa"/>
        </w:tblCellMar>
        <w:tblLook w:val="04A0" w:firstRow="1" w:lastRow="0" w:firstColumn="1" w:lastColumn="0" w:noHBand="0" w:noVBand="1"/>
      </w:tblPr>
      <w:tblGrid>
        <w:gridCol w:w="5387"/>
        <w:gridCol w:w="2646"/>
      </w:tblGrid>
      <w:tr w:rsidR="00F95CBD" w:rsidRPr="00C66404" w:rsidTr="00F95CBD">
        <w:trPr>
          <w:trHeight w:val="900"/>
          <w:jc w:val="center"/>
        </w:trPr>
        <w:tc>
          <w:tcPr>
            <w:tcW w:w="5387" w:type="dxa"/>
            <w:tcBorders>
              <w:top w:val="single" w:sz="4" w:space="0" w:color="auto"/>
              <w:left w:val="nil"/>
              <w:bottom w:val="nil"/>
              <w:right w:val="nil"/>
            </w:tcBorders>
            <w:shd w:val="clear" w:color="auto" w:fill="auto"/>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Autores</w:t>
            </w:r>
          </w:p>
        </w:tc>
        <w:tc>
          <w:tcPr>
            <w:tcW w:w="2646" w:type="dxa"/>
            <w:tcBorders>
              <w:top w:val="single" w:sz="4" w:space="0" w:color="auto"/>
              <w:left w:val="nil"/>
              <w:bottom w:val="nil"/>
              <w:right w:val="nil"/>
            </w:tcBorders>
            <w:shd w:val="clear" w:color="000000" w:fill="FFFFFF"/>
            <w:vAlign w:val="center"/>
          </w:tcPr>
          <w:p w:rsidR="00F95CBD" w:rsidRPr="00C66404" w:rsidRDefault="00F95CBD" w:rsidP="00F95CBD">
            <w:pPr>
              <w:spacing w:before="0" w:after="0"/>
              <w:jc w:val="center"/>
              <w:rPr>
                <w:b/>
                <w:bCs/>
                <w:color w:val="000000"/>
                <w:sz w:val="22"/>
                <w:lang w:eastAsia="es-CO" w:bidi="ar-SA"/>
              </w:rPr>
            </w:pPr>
            <w:r w:rsidRPr="00C66404">
              <w:rPr>
                <w:b/>
                <w:bCs/>
                <w:color w:val="000000"/>
                <w:sz w:val="22"/>
                <w:lang w:eastAsia="es-CO" w:bidi="ar-SA"/>
              </w:rPr>
              <w:t>Afectación  en la Salud</w:t>
            </w:r>
          </w:p>
        </w:tc>
      </w:tr>
      <w:tr w:rsidR="00F95CBD" w:rsidRPr="00C66404" w:rsidTr="00F95CBD">
        <w:trPr>
          <w:trHeight w:val="900"/>
          <w:jc w:val="center"/>
        </w:trPr>
        <w:tc>
          <w:tcPr>
            <w:tcW w:w="5387" w:type="dxa"/>
            <w:tcBorders>
              <w:top w:val="single" w:sz="4" w:space="0" w:color="auto"/>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*Intayoung, U. *Khacha-ananda, S. *Kohsuwan, K. *Sapbamrer, R. *Wunnapuk, K.</w:t>
            </w:r>
          </w:p>
        </w:tc>
        <w:tc>
          <w:tcPr>
            <w:tcW w:w="2646" w:type="dxa"/>
            <w:tcBorders>
              <w:top w:val="single" w:sz="4" w:space="0" w:color="auto"/>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Estrés oxidativo</w:t>
            </w:r>
            <w:r w:rsidRPr="00C66404">
              <w:rPr>
                <w:color w:val="000000"/>
                <w:sz w:val="22"/>
                <w:lang w:eastAsia="es-CO" w:bidi="ar-SA"/>
              </w:rPr>
              <w:br/>
              <w:t xml:space="preserve"> si se mezcla con otro herbicida </w:t>
            </w:r>
          </w:p>
        </w:tc>
      </w:tr>
      <w:tr w:rsidR="00F95CBD" w:rsidRPr="00C66404" w:rsidTr="00F95CBD">
        <w:trPr>
          <w:trHeight w:val="1500"/>
          <w:jc w:val="center"/>
        </w:trPr>
        <w:tc>
          <w:tcPr>
            <w:tcW w:w="5387" w:type="dxa"/>
            <w:tcBorders>
              <w:top w:val="nil"/>
              <w:left w:val="nil"/>
              <w:bottom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*Asensio, C. *Butler-Dawson, J. *Cruz, A. *Dally, M. *James, K.A. *Jaramillo, D. *Johnson, E.C. *Johnson, R.J. *Krisher, L. *Newman, L.S. *Pilloni, D. *Yoder, H.</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Lesiones Renales/Daños renales </w:t>
            </w:r>
          </w:p>
        </w:tc>
      </w:tr>
      <w:tr w:rsidR="00F95CBD" w:rsidRPr="00C66404" w:rsidTr="00F95CBD">
        <w:trPr>
          <w:trHeight w:val="2100"/>
          <w:jc w:val="center"/>
        </w:trPr>
        <w:tc>
          <w:tcPr>
            <w:tcW w:w="5387" w:type="dxa"/>
            <w:tcBorders>
              <w:top w:val="nil"/>
              <w:left w:val="nil"/>
              <w:bottom w:val="nil"/>
              <w:right w:val="nil"/>
            </w:tcBorders>
            <w:shd w:val="clear" w:color="auto" w:fill="F2F2F2"/>
            <w:vAlign w:val="center"/>
            <w:hideMark/>
          </w:tcPr>
          <w:p w:rsidR="00F95CBD" w:rsidRPr="00C66404" w:rsidRDefault="00360CB3" w:rsidP="00360CB3">
            <w:pPr>
              <w:spacing w:before="0" w:after="0"/>
              <w:jc w:val="left"/>
              <w:rPr>
                <w:color w:val="000000"/>
                <w:sz w:val="22"/>
                <w:lang w:eastAsia="es-CO" w:bidi="ar-SA"/>
              </w:rPr>
            </w:pPr>
            <w:r w:rsidRPr="00360CB3">
              <w:rPr>
                <w:color w:val="000000"/>
                <w:sz w:val="22"/>
                <w:lang w:eastAsia="es-CO" w:bidi="ar-SA"/>
              </w:rPr>
              <w:t xml:space="preserve">*Meloni, F. </w:t>
            </w:r>
            <w:r w:rsidR="00F95CBD" w:rsidRPr="00C66404">
              <w:rPr>
                <w:color w:val="000000"/>
                <w:sz w:val="22"/>
                <w:lang w:eastAsia="es-CO" w:bidi="ar-SA"/>
              </w:rPr>
              <w:t>*Argiolas, A. *Campagna, M. *Cocco, P. *De Matteis, S. *Ferri, G.M. *Gambelunghe, A. *Magnani, C. *Miligi, L. *Montagna, A. *Muzi, G. *Padoan, M. *Pilia, I. *Piro, S. *Satta, G. *Scarpa, A. *Vimercati, L. *Zanotti, R. *Zucca, M.</w:t>
            </w:r>
          </w:p>
        </w:tc>
        <w:tc>
          <w:tcPr>
            <w:tcW w:w="2646" w:type="dxa"/>
            <w:tcBorders>
              <w:top w:val="nil"/>
              <w:left w:val="nil"/>
              <w:bottom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Linfoma folicular </w:t>
            </w:r>
          </w:p>
        </w:tc>
      </w:tr>
      <w:tr w:rsidR="00F95CBD" w:rsidRPr="00C66404" w:rsidTr="00F95CBD">
        <w:trPr>
          <w:trHeight w:val="900"/>
          <w:jc w:val="center"/>
        </w:trPr>
        <w:tc>
          <w:tcPr>
            <w:tcW w:w="5387" w:type="dxa"/>
            <w:tcBorders>
              <w:top w:val="nil"/>
              <w:left w:val="nil"/>
              <w:bottom w:val="nil"/>
              <w:right w:val="nil"/>
            </w:tcBorders>
            <w:shd w:val="clear" w:color="auto" w:fill="auto"/>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*Fuhrimann, S.</w:t>
            </w:r>
            <w:r w:rsidR="00360CB3">
              <w:rPr>
                <w:color w:val="000000"/>
                <w:sz w:val="22"/>
                <w:lang w:eastAsia="es-CO" w:bidi="ar-SA"/>
              </w:rPr>
              <w:t xml:space="preserve"> </w:t>
            </w:r>
            <w:r w:rsidR="00360CB3" w:rsidRPr="00360CB3">
              <w:rPr>
                <w:color w:val="000000"/>
                <w:sz w:val="22"/>
                <w:lang w:eastAsia="es-CO" w:bidi="ar-SA"/>
              </w:rPr>
              <w:t xml:space="preserve">*Atuhaire, A.  </w:t>
            </w:r>
            <w:r w:rsidRPr="00C66404">
              <w:rPr>
                <w:color w:val="000000"/>
                <w:sz w:val="22"/>
                <w:lang w:eastAsia="es-CO" w:bidi="ar-SA"/>
              </w:rPr>
              <w:t xml:space="preserve"> *Kromhout, H.  *Staudacher, P. *Huss, A. *Mubeezi, R. *van den Brenk, I.</w:t>
            </w:r>
          </w:p>
        </w:tc>
        <w:tc>
          <w:tcPr>
            <w:tcW w:w="2646" w:type="dxa"/>
            <w:tcBorders>
              <w:top w:val="nil"/>
              <w:left w:val="nil"/>
              <w:bottom w:val="nil"/>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Trastorno del sueño </w:t>
            </w:r>
          </w:p>
        </w:tc>
      </w:tr>
      <w:tr w:rsidR="00F95CBD" w:rsidRPr="00C66404" w:rsidTr="00F95CBD">
        <w:trPr>
          <w:trHeight w:val="1500"/>
          <w:jc w:val="center"/>
        </w:trPr>
        <w:tc>
          <w:tcPr>
            <w:tcW w:w="5387" w:type="dxa"/>
            <w:tcBorders>
              <w:top w:val="nil"/>
              <w:left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*Barrett, E.S. *Chen, J. *Ferguson, K.K. *Lesseur, C. *Mandrioli, D. *Martinez, M.N. *Nguyen, R.H.N. *Pathak, K.V. *Pirrotte, P. *Sathyanarayana, S. *Swan, S.H.</w:t>
            </w:r>
          </w:p>
        </w:tc>
        <w:tc>
          <w:tcPr>
            <w:tcW w:w="2646" w:type="dxa"/>
            <w:tcBorders>
              <w:top w:val="nil"/>
              <w:left w:val="nil"/>
              <w:right w:val="nil"/>
            </w:tcBorders>
            <w:shd w:val="clear" w:color="auto" w:fill="F2F2F2"/>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Reducción en los periodos de gestación </w:t>
            </w:r>
          </w:p>
        </w:tc>
      </w:tr>
      <w:tr w:rsidR="00F95CBD" w:rsidRPr="00C66404" w:rsidTr="00F95CBD">
        <w:trPr>
          <w:trHeight w:val="1500"/>
          <w:jc w:val="center"/>
        </w:trPr>
        <w:tc>
          <w:tcPr>
            <w:tcW w:w="5387" w:type="dxa"/>
            <w:tcBorders>
              <w:top w:val="nil"/>
              <w:left w:val="nil"/>
              <w:bottom w:val="single" w:sz="4" w:space="0" w:color="auto"/>
              <w:right w:val="nil"/>
            </w:tcBorders>
            <w:shd w:val="clear" w:color="auto" w:fill="auto"/>
            <w:vAlign w:val="center"/>
            <w:hideMark/>
          </w:tcPr>
          <w:p w:rsidR="00F95CBD" w:rsidRPr="00C66404" w:rsidRDefault="00360CB3" w:rsidP="00360CB3">
            <w:pPr>
              <w:spacing w:before="0" w:after="0"/>
              <w:jc w:val="left"/>
              <w:rPr>
                <w:color w:val="000000"/>
                <w:sz w:val="22"/>
                <w:lang w:eastAsia="es-CO" w:bidi="ar-SA"/>
              </w:rPr>
            </w:pPr>
            <w:r w:rsidRPr="00360CB3">
              <w:rPr>
                <w:color w:val="000000"/>
                <w:sz w:val="22"/>
                <w:lang w:eastAsia="es-CO" w:bidi="ar-SA"/>
              </w:rPr>
              <w:t xml:space="preserve">*Eaton, J.L. </w:t>
            </w:r>
            <w:r w:rsidR="00F95CBD" w:rsidRPr="00C66404">
              <w:rPr>
                <w:color w:val="000000"/>
                <w:sz w:val="22"/>
                <w:lang w:eastAsia="es-CO" w:bidi="ar-SA"/>
              </w:rPr>
              <w:t>*Alshawabkeh, A. *Cathey, A.L. *Cordero, J. *Fernandez, J.A. *Meeker, J.D. *Milne, G.L. *Rosario, Z. *Silver, M.K. *Velez-Vega, C. *Watkins, D.J.</w:t>
            </w:r>
          </w:p>
        </w:tc>
        <w:tc>
          <w:tcPr>
            <w:tcW w:w="2646" w:type="dxa"/>
            <w:tcBorders>
              <w:top w:val="nil"/>
              <w:left w:val="nil"/>
              <w:bottom w:val="single" w:sz="4" w:space="0" w:color="auto"/>
              <w:right w:val="nil"/>
            </w:tcBorders>
            <w:shd w:val="clear" w:color="000000" w:fill="FFFFFF"/>
            <w:vAlign w:val="center"/>
            <w:hideMark/>
          </w:tcPr>
          <w:p w:rsidR="00F95CBD" w:rsidRPr="00C66404" w:rsidRDefault="00F95CBD" w:rsidP="00F95CBD">
            <w:pPr>
              <w:spacing w:before="0" w:after="0"/>
              <w:jc w:val="left"/>
              <w:rPr>
                <w:color w:val="000000"/>
                <w:sz w:val="22"/>
                <w:lang w:eastAsia="es-CO" w:bidi="ar-SA"/>
              </w:rPr>
            </w:pPr>
            <w:r w:rsidRPr="00C66404">
              <w:rPr>
                <w:color w:val="000000"/>
                <w:sz w:val="22"/>
                <w:lang w:eastAsia="es-CO" w:bidi="ar-SA"/>
              </w:rPr>
              <w:t xml:space="preserve"> - Estrés Oxidativo </w:t>
            </w:r>
          </w:p>
        </w:tc>
      </w:tr>
    </w:tbl>
    <w:p w:rsidR="00F95CBD" w:rsidRDefault="00F95CBD">
      <w:pPr>
        <w:rPr>
          <w:color w:val="000000"/>
          <w:highlight w:val="white"/>
        </w:rPr>
      </w:pPr>
    </w:p>
    <w:p w:rsidR="002B5EF8" w:rsidRDefault="00C66404">
      <w:pPr>
        <w:rPr>
          <w:color w:val="000000"/>
          <w:highlight w:val="white"/>
        </w:rPr>
      </w:pPr>
      <w:r>
        <w:rPr>
          <w:color w:val="000000"/>
          <w:highlight w:val="white"/>
        </w:rPr>
        <w:t xml:space="preserve">En la </w:t>
      </w:r>
      <w:r>
        <w:rPr>
          <w:i/>
          <w:color w:val="000000"/>
          <w:highlight w:val="white"/>
        </w:rPr>
        <w:t xml:space="preserve">figura 4 </w:t>
      </w:r>
      <w:r>
        <w:rPr>
          <w:color w:val="000000"/>
          <w:highlight w:val="white"/>
        </w:rPr>
        <w:t xml:space="preserve">se presenta la relación de las enfermedades más comunes dentro de la revisión y el porcentaje de artículos totales que mencionan cada afectación; esta relación se muestra a través de un diagrama de barras con el fin de obtener una visión grafica de las enfermedades asociadas con el uso ocupacional del glifosato dentro de la investigación  </w:t>
      </w:r>
    </w:p>
    <w:p w:rsidR="00F95CBD" w:rsidRDefault="00F95CBD">
      <w:pPr>
        <w:rPr>
          <w:color w:val="000000"/>
          <w:highlight w:val="white"/>
        </w:rPr>
      </w:pPr>
    </w:p>
    <w:p w:rsidR="002B5EF8" w:rsidRDefault="00C66404">
      <w:pPr>
        <w:pBdr>
          <w:top w:val="nil"/>
          <w:left w:val="nil"/>
          <w:bottom w:val="nil"/>
          <w:right w:val="nil"/>
          <w:between w:val="nil"/>
        </w:pBdr>
        <w:jc w:val="center"/>
        <w:rPr>
          <w:b/>
          <w:color w:val="000000"/>
          <w:szCs w:val="24"/>
        </w:rPr>
      </w:pPr>
      <w:r>
        <w:rPr>
          <w:b/>
          <w:color w:val="000000"/>
          <w:szCs w:val="24"/>
        </w:rPr>
        <w:t>Figura 4</w:t>
      </w:r>
    </w:p>
    <w:p w:rsidR="002B5EF8" w:rsidRDefault="00C66404">
      <w:pPr>
        <w:spacing w:line="360" w:lineRule="auto"/>
        <w:jc w:val="center"/>
      </w:pPr>
      <w:r>
        <w:t>Afectaciones con Mayor Porcentaje de Mención en los artículos de investigación.</w:t>
      </w:r>
    </w:p>
    <w:p w:rsidR="002B5EF8" w:rsidRDefault="00C66404">
      <w:r>
        <w:rPr>
          <w:noProof/>
          <w:lang w:eastAsia="es-CO" w:bidi="ar-SA"/>
        </w:rPr>
        <w:lastRenderedPageBreak/>
        <w:drawing>
          <wp:inline distT="0" distB="0" distL="0" distR="0">
            <wp:extent cx="5220970" cy="269320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5220970" cy="2693200"/>
                    </a:xfrm>
                    <a:prstGeom prst="rect">
                      <a:avLst/>
                    </a:prstGeom>
                    <a:ln/>
                  </pic:spPr>
                </pic:pic>
              </a:graphicData>
            </a:graphic>
          </wp:inline>
        </w:drawing>
      </w:r>
    </w:p>
    <w:p w:rsidR="002B5EF8" w:rsidRDefault="002B5EF8">
      <w:pPr>
        <w:spacing w:before="0" w:after="0"/>
      </w:pPr>
    </w:p>
    <w:p w:rsidR="002B5EF8" w:rsidRDefault="00C66404">
      <w:r>
        <w:t>Las afectaciones presentadas anteriormente se pueden agrupar en efectos adversos que intervienen en los sistemas orgánicos del cuerpo humano, sistemas funcionales específicos como el sistema urinario, sistema nervioso, sistema endocrino, sistema inmunitario, sistema cardiovascular y sistema respiratorio, como se puede visualizar en la figura 5</w:t>
      </w:r>
    </w:p>
    <w:p w:rsidR="002B5EF8" w:rsidRDefault="002B5EF8"/>
    <w:p w:rsidR="002B5EF8" w:rsidRDefault="00C66404">
      <w:pPr>
        <w:pBdr>
          <w:top w:val="nil"/>
          <w:left w:val="nil"/>
          <w:bottom w:val="nil"/>
          <w:right w:val="nil"/>
          <w:between w:val="nil"/>
        </w:pBdr>
        <w:jc w:val="center"/>
        <w:rPr>
          <w:b/>
          <w:color w:val="000000"/>
          <w:szCs w:val="24"/>
        </w:rPr>
      </w:pPr>
      <w:r>
        <w:rPr>
          <w:b/>
          <w:color w:val="000000"/>
          <w:szCs w:val="24"/>
        </w:rPr>
        <w:t>Figura 5</w:t>
      </w:r>
    </w:p>
    <w:p w:rsidR="002B5EF8" w:rsidRDefault="00C66404">
      <w:pPr>
        <w:spacing w:line="360" w:lineRule="auto"/>
        <w:jc w:val="center"/>
      </w:pPr>
      <w:r>
        <w:t>Agrupación de las Afectaciones según los sistemas implicados</w:t>
      </w:r>
    </w:p>
    <w:p w:rsidR="002B5EF8" w:rsidRDefault="00C66404">
      <w:pPr>
        <w:jc w:val="center"/>
      </w:pPr>
      <w:r>
        <w:rPr>
          <w:noProof/>
          <w:lang w:eastAsia="es-CO" w:bidi="ar-SA"/>
        </w:rPr>
        <w:drawing>
          <wp:inline distT="0" distB="0" distL="0" distR="0">
            <wp:extent cx="4391025" cy="3590925"/>
            <wp:effectExtent l="0" t="0" r="9525" b="9525"/>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l="7031" t="2521" r="4522" b="5975"/>
                    <a:stretch>
                      <a:fillRect/>
                    </a:stretch>
                  </pic:blipFill>
                  <pic:spPr>
                    <a:xfrm>
                      <a:off x="0" y="0"/>
                      <a:ext cx="4391794" cy="3591554"/>
                    </a:xfrm>
                    <a:prstGeom prst="rect">
                      <a:avLst/>
                    </a:prstGeom>
                    <a:ln/>
                  </pic:spPr>
                </pic:pic>
              </a:graphicData>
            </a:graphic>
          </wp:inline>
        </w:drawing>
      </w:r>
    </w:p>
    <w:p w:rsidR="002B5EF8" w:rsidRDefault="00C66404">
      <w:pPr>
        <w:numPr>
          <w:ilvl w:val="2"/>
          <w:numId w:val="4"/>
        </w:numPr>
        <w:pBdr>
          <w:top w:val="nil"/>
          <w:left w:val="nil"/>
          <w:bottom w:val="nil"/>
          <w:right w:val="nil"/>
          <w:between w:val="nil"/>
        </w:pBdr>
        <w:spacing w:before="0" w:after="0"/>
        <w:ind w:left="709" w:hanging="709"/>
        <w:jc w:val="left"/>
        <w:rPr>
          <w:b/>
          <w:i/>
          <w:color w:val="000000"/>
          <w:szCs w:val="24"/>
        </w:rPr>
      </w:pPr>
      <w:r>
        <w:rPr>
          <w:b/>
          <w:i/>
          <w:color w:val="000000"/>
          <w:szCs w:val="24"/>
        </w:rPr>
        <w:lastRenderedPageBreak/>
        <w:t>Afectaciones en los sistemas orgánicos</w:t>
      </w:r>
    </w:p>
    <w:p w:rsidR="002B5EF8" w:rsidRDefault="002B5EF8">
      <w:pPr>
        <w:pBdr>
          <w:top w:val="nil"/>
          <w:left w:val="nil"/>
          <w:bottom w:val="nil"/>
          <w:right w:val="nil"/>
          <w:between w:val="nil"/>
        </w:pBdr>
        <w:spacing w:before="0" w:after="0"/>
        <w:ind w:left="1080"/>
        <w:jc w:val="left"/>
        <w:rPr>
          <w:color w:val="000000"/>
          <w:szCs w:val="24"/>
        </w:rPr>
      </w:pPr>
    </w:p>
    <w:p w:rsidR="002B5EF8" w:rsidRDefault="00C66404">
      <w:pPr>
        <w:pBdr>
          <w:top w:val="nil"/>
          <w:left w:val="nil"/>
          <w:bottom w:val="nil"/>
          <w:right w:val="nil"/>
          <w:between w:val="nil"/>
        </w:pBdr>
        <w:spacing w:before="0" w:after="0"/>
        <w:rPr>
          <w:color w:val="000000"/>
          <w:szCs w:val="24"/>
        </w:rPr>
      </w:pPr>
      <w:r>
        <w:rPr>
          <w:color w:val="000000"/>
          <w:szCs w:val="24"/>
        </w:rPr>
        <w:t xml:space="preserve">El cuerpo humano está constituido por sistemas, estos son grupos de órganos que trabajan conjuntamente para llevar a cabo funciones complejas de tipo biológico (Villa-Forte, 2022); los sistemas pueden presentar afectaciones cuando existe alguna alteración biológica generada por disfunciones internas o por factores externos como sustancias químicas, siendo el caso de los ya mencionados pesticidas, específicamente el glifosato causante de alteraciones como el estrés oxidativo que pueden derivar en enfermedades más graves. </w:t>
      </w:r>
    </w:p>
    <w:p w:rsidR="002B5EF8" w:rsidRDefault="002B5EF8">
      <w:pPr>
        <w:pBdr>
          <w:top w:val="nil"/>
          <w:left w:val="nil"/>
          <w:bottom w:val="nil"/>
          <w:right w:val="nil"/>
          <w:between w:val="nil"/>
        </w:pBdr>
        <w:spacing w:before="0" w:after="0"/>
        <w:rPr>
          <w:color w:val="000000"/>
          <w:szCs w:val="24"/>
        </w:rPr>
      </w:pPr>
    </w:p>
    <w:p w:rsidR="002B5EF8" w:rsidRDefault="00C66404">
      <w:pPr>
        <w:numPr>
          <w:ilvl w:val="0"/>
          <w:numId w:val="3"/>
        </w:numPr>
        <w:pBdr>
          <w:top w:val="nil"/>
          <w:left w:val="nil"/>
          <w:bottom w:val="nil"/>
          <w:right w:val="nil"/>
          <w:between w:val="nil"/>
        </w:pBdr>
        <w:spacing w:before="0" w:after="0"/>
        <w:ind w:left="426"/>
      </w:pPr>
      <w:r>
        <w:rPr>
          <w:i/>
          <w:color w:val="000000"/>
          <w:szCs w:val="24"/>
        </w:rPr>
        <w:t>Estrés Oxidativo</w:t>
      </w:r>
      <w:r>
        <w:rPr>
          <w:color w:val="000000"/>
          <w:szCs w:val="24"/>
        </w:rPr>
        <w:t>. Es una reacción natural generada en el organismo cuando no se es capaz de equilibrar la cantidad de sustancias oxidantes producidas por las células (Arranz, 2022); diversas investigaciones han asociado la exposición a químicos agrícolas como el glifosato con la alteración de los marcadores de oxidación celular, alteraciones encontradas especialmente en comunidades rurales, especialmente cuando no hay un uso adecuado de EPPs</w:t>
      </w:r>
      <w:r>
        <w:rPr>
          <w:color w:val="000000"/>
          <w:szCs w:val="24"/>
          <w:vertAlign w:val="superscript"/>
        </w:rPr>
        <w:footnoteReference w:id="5"/>
      </w:r>
      <w:r>
        <w:rPr>
          <w:color w:val="000000"/>
          <w:szCs w:val="24"/>
        </w:rPr>
        <w:t xml:space="preserve">  (Intayoung et al., 2021)</w:t>
      </w:r>
    </w:p>
    <w:p w:rsidR="002B5EF8" w:rsidRDefault="002B5EF8">
      <w:pPr>
        <w:pBdr>
          <w:top w:val="nil"/>
          <w:left w:val="nil"/>
          <w:bottom w:val="nil"/>
          <w:right w:val="nil"/>
          <w:between w:val="nil"/>
        </w:pBdr>
        <w:spacing w:before="0" w:after="0"/>
        <w:ind w:left="426"/>
        <w:jc w:val="left"/>
        <w:rPr>
          <w:color w:val="000000"/>
          <w:szCs w:val="24"/>
        </w:rPr>
      </w:pPr>
    </w:p>
    <w:p w:rsidR="002B5EF8" w:rsidRDefault="00C66404">
      <w:pPr>
        <w:numPr>
          <w:ilvl w:val="2"/>
          <w:numId w:val="4"/>
        </w:numPr>
        <w:pBdr>
          <w:top w:val="nil"/>
          <w:left w:val="nil"/>
          <w:bottom w:val="nil"/>
          <w:right w:val="nil"/>
          <w:between w:val="nil"/>
        </w:pBdr>
        <w:spacing w:before="0" w:after="0"/>
        <w:ind w:left="709" w:hanging="709"/>
        <w:jc w:val="left"/>
        <w:rPr>
          <w:b/>
          <w:i/>
          <w:color w:val="000000"/>
          <w:szCs w:val="24"/>
        </w:rPr>
      </w:pPr>
      <w:r>
        <w:rPr>
          <w:b/>
          <w:i/>
          <w:color w:val="000000"/>
          <w:szCs w:val="24"/>
        </w:rPr>
        <w:t xml:space="preserve">Afectaciones en el sistema Urinario </w:t>
      </w:r>
    </w:p>
    <w:p w:rsidR="002B5EF8" w:rsidRDefault="002B5EF8">
      <w:pPr>
        <w:pBdr>
          <w:top w:val="nil"/>
          <w:left w:val="nil"/>
          <w:bottom w:val="nil"/>
          <w:right w:val="nil"/>
          <w:between w:val="nil"/>
        </w:pBdr>
        <w:spacing w:before="0" w:after="0"/>
        <w:jc w:val="left"/>
        <w:rPr>
          <w:color w:val="000000"/>
          <w:szCs w:val="24"/>
        </w:rPr>
      </w:pPr>
    </w:p>
    <w:p w:rsidR="002B5EF8" w:rsidRDefault="00C66404">
      <w:pPr>
        <w:pBdr>
          <w:top w:val="nil"/>
          <w:left w:val="nil"/>
          <w:bottom w:val="nil"/>
          <w:right w:val="nil"/>
          <w:between w:val="nil"/>
        </w:pBdr>
        <w:spacing w:before="0" w:after="0"/>
        <w:rPr>
          <w:color w:val="000000"/>
          <w:szCs w:val="24"/>
        </w:rPr>
      </w:pPr>
      <w:r>
        <w:rPr>
          <w:color w:val="000000"/>
          <w:szCs w:val="24"/>
        </w:rPr>
        <w:t>El sistema urinario, es el aparato encargado de fabricar, almacenar y eliminar la orina (sustancia por la que se depuran las toxinas de la sangre); este sistema  puede verse afectado por diversas razones, siendo una de ella, la exposición ocupacional al glifosato, que puede generar lesiones renales entre las que se destacan (CKD</w:t>
      </w:r>
      <w:r>
        <w:rPr>
          <w:color w:val="000000"/>
          <w:szCs w:val="24"/>
          <w:vertAlign w:val="superscript"/>
        </w:rPr>
        <w:footnoteReference w:id="6"/>
      </w:r>
      <w:r>
        <w:rPr>
          <w:color w:val="000000"/>
          <w:szCs w:val="24"/>
        </w:rPr>
        <w:t xml:space="preserve"> , Efectos nefrotóxicos y la Insuficiencia Renal)</w:t>
      </w:r>
    </w:p>
    <w:p w:rsidR="002B5EF8" w:rsidRDefault="002B5EF8">
      <w:pPr>
        <w:pBdr>
          <w:top w:val="nil"/>
          <w:left w:val="nil"/>
          <w:bottom w:val="nil"/>
          <w:right w:val="nil"/>
          <w:between w:val="nil"/>
        </w:pBdr>
        <w:spacing w:before="0" w:after="0"/>
        <w:rPr>
          <w:color w:val="000000"/>
          <w:szCs w:val="24"/>
        </w:rPr>
      </w:pPr>
    </w:p>
    <w:p w:rsidR="002B5EF8" w:rsidRDefault="00C66404">
      <w:pPr>
        <w:numPr>
          <w:ilvl w:val="0"/>
          <w:numId w:val="3"/>
        </w:numPr>
        <w:pBdr>
          <w:top w:val="nil"/>
          <w:left w:val="nil"/>
          <w:bottom w:val="nil"/>
          <w:right w:val="nil"/>
          <w:between w:val="nil"/>
        </w:pBdr>
        <w:spacing w:before="0" w:after="0"/>
        <w:ind w:left="426" w:hanging="426"/>
      </w:pPr>
      <w:r>
        <w:rPr>
          <w:i/>
          <w:color w:val="000000"/>
          <w:szCs w:val="24"/>
        </w:rPr>
        <w:t>Enfermedad Renal Crónica</w:t>
      </w:r>
      <w:r>
        <w:rPr>
          <w:color w:val="000000"/>
          <w:szCs w:val="24"/>
        </w:rPr>
        <w:t>. Alteración de los riñones que consiste en el deterioro progresivo e irreversible de la función renal; diversas investigaciones señalan al glifosato como potencial generador de la enfermedad renal crónica CKD (Schaeffer et al., 2020), especialmente en los trabajadores del campo cuando no hay un adecuado uso de EPPs (Gunatilake et al., 2019; Jayasumana, Fonseka, et al., 2015; Jayasumana, Paranagama, et al., 2015) ,   situación que enfrentan agricultores de diversos tipos de cultivos alimenticios como el arroz o la caña de azúcar (Vandenberg et al., 2017).</w:t>
      </w:r>
    </w:p>
    <w:p w:rsidR="002B5EF8" w:rsidRDefault="00C66404">
      <w:pPr>
        <w:numPr>
          <w:ilvl w:val="0"/>
          <w:numId w:val="3"/>
        </w:numPr>
        <w:pBdr>
          <w:top w:val="nil"/>
          <w:left w:val="nil"/>
          <w:bottom w:val="nil"/>
          <w:right w:val="nil"/>
          <w:between w:val="nil"/>
        </w:pBdr>
        <w:spacing w:before="0" w:after="0"/>
        <w:ind w:left="426" w:hanging="426"/>
      </w:pPr>
      <w:r>
        <w:rPr>
          <w:i/>
          <w:color w:val="000000"/>
          <w:szCs w:val="24"/>
        </w:rPr>
        <w:t>Efectos nefrotóxicos.</w:t>
      </w:r>
      <w:r>
        <w:rPr>
          <w:color w:val="000000"/>
          <w:szCs w:val="24"/>
        </w:rPr>
        <w:t xml:space="preserve"> Alteraciones causadas en el aparato urinario por sustancias naturalmente venenosas para el </w:t>
      </w:r>
      <w:proofErr w:type="gramStart"/>
      <w:r>
        <w:rPr>
          <w:color w:val="000000"/>
          <w:szCs w:val="24"/>
        </w:rPr>
        <w:t xml:space="preserve">riñón </w:t>
      </w:r>
      <w:r>
        <w:rPr>
          <w:color w:val="000000"/>
          <w:szCs w:val="24"/>
          <w:shd w:val="clear" w:color="auto" w:fill="FFFFFB"/>
        </w:rPr>
        <w:t xml:space="preserve"> (</w:t>
      </w:r>
      <w:proofErr w:type="gramEnd"/>
      <w:r>
        <w:rPr>
          <w:color w:val="000000"/>
          <w:szCs w:val="24"/>
          <w:shd w:val="clear" w:color="auto" w:fill="FFFFFB"/>
        </w:rPr>
        <w:t xml:space="preserve">NIH, 2021; Serrano, 1995); </w:t>
      </w:r>
      <w:r>
        <w:rPr>
          <w:color w:val="000000"/>
          <w:szCs w:val="24"/>
        </w:rPr>
        <w:t xml:space="preserve">  algunas investigaciones señalan al glifosato como un químico potencialmente nefrotóxico (Schaeffer et al., 2020) capaz de afectar la función renal de los individuos expuestos ocupacionalmente, especialmente los trabajadores agrícolas teniendo en cuenta los niveles de exposición a los que se enfrentan (Prudente et al., 2021).</w:t>
      </w:r>
    </w:p>
    <w:p w:rsidR="002B5EF8" w:rsidRDefault="00C66404">
      <w:pPr>
        <w:numPr>
          <w:ilvl w:val="0"/>
          <w:numId w:val="3"/>
        </w:numPr>
        <w:pBdr>
          <w:top w:val="nil"/>
          <w:left w:val="nil"/>
          <w:bottom w:val="nil"/>
          <w:right w:val="nil"/>
          <w:between w:val="nil"/>
        </w:pBdr>
        <w:spacing w:before="0" w:after="0"/>
        <w:ind w:left="426"/>
      </w:pPr>
      <w:r>
        <w:rPr>
          <w:i/>
          <w:color w:val="000000"/>
          <w:szCs w:val="24"/>
        </w:rPr>
        <w:t>Insuficiencia Renal.</w:t>
      </w:r>
      <w:r>
        <w:rPr>
          <w:color w:val="000000"/>
          <w:szCs w:val="24"/>
        </w:rPr>
        <w:t xml:space="preserve"> </w:t>
      </w:r>
      <w:r>
        <w:rPr>
          <w:color w:val="000000"/>
          <w:szCs w:val="24"/>
          <w:shd w:val="clear" w:color="auto" w:fill="FFFFFB"/>
        </w:rPr>
        <w:t xml:space="preserve">En esta enfermedad, los riñones dejan de funcionar y no pueden mantener en equilibrio las sustancias químicas del (NIH, 2018, 2020); se ha relacionado la aparición de este tipo de lesiones con la intoxicación por glifosato (Kongtip et al., 2021) ya que con su uso se </w:t>
      </w:r>
      <w:proofErr w:type="gramStart"/>
      <w:r>
        <w:rPr>
          <w:color w:val="000000"/>
          <w:szCs w:val="24"/>
          <w:shd w:val="clear" w:color="auto" w:fill="FFFFFB"/>
        </w:rPr>
        <w:t>incrementa  la</w:t>
      </w:r>
      <w:proofErr w:type="gramEnd"/>
      <w:r>
        <w:rPr>
          <w:color w:val="000000"/>
          <w:szCs w:val="24"/>
          <w:shd w:val="clear" w:color="auto" w:fill="FFFFFB"/>
        </w:rPr>
        <w:t xml:space="preserve"> retención de desechos como la creatinina sérica, (American Kidney Fund, 2021), sustancia que </w:t>
      </w:r>
      <w:r>
        <w:rPr>
          <w:color w:val="000000"/>
          <w:szCs w:val="24"/>
          <w:shd w:val="clear" w:color="auto" w:fill="FFFFFB"/>
        </w:rPr>
        <w:lastRenderedPageBreak/>
        <w:t>ha demostrado elevar sus niveles en el organismo por exposición a químicos agrícolas (Mueangkhiao et al., 2020)</w:t>
      </w:r>
      <w:r>
        <w:rPr>
          <w:shd w:val="clear" w:color="auto" w:fill="FFFFFB"/>
        </w:rPr>
        <w:t>.</w:t>
      </w:r>
    </w:p>
    <w:p w:rsidR="002B5EF8" w:rsidRDefault="002B5EF8">
      <w:pPr>
        <w:pBdr>
          <w:top w:val="nil"/>
          <w:left w:val="nil"/>
          <w:bottom w:val="nil"/>
          <w:right w:val="nil"/>
          <w:between w:val="nil"/>
        </w:pBdr>
        <w:spacing w:before="0" w:after="0"/>
        <w:jc w:val="left"/>
        <w:rPr>
          <w:color w:val="000000"/>
          <w:szCs w:val="24"/>
        </w:rPr>
      </w:pPr>
    </w:p>
    <w:p w:rsidR="002B5EF8" w:rsidRDefault="00C66404">
      <w:pPr>
        <w:numPr>
          <w:ilvl w:val="2"/>
          <w:numId w:val="4"/>
        </w:numPr>
        <w:pBdr>
          <w:top w:val="nil"/>
          <w:left w:val="nil"/>
          <w:bottom w:val="nil"/>
          <w:right w:val="nil"/>
          <w:between w:val="nil"/>
        </w:pBdr>
        <w:spacing w:before="0" w:after="0"/>
        <w:ind w:left="709"/>
        <w:jc w:val="left"/>
        <w:rPr>
          <w:b/>
          <w:i/>
          <w:color w:val="000000"/>
          <w:szCs w:val="24"/>
        </w:rPr>
      </w:pPr>
      <w:r>
        <w:rPr>
          <w:b/>
          <w:i/>
          <w:color w:val="000000"/>
          <w:szCs w:val="24"/>
        </w:rPr>
        <w:t>Afectaciones en el sistema nervioso</w:t>
      </w:r>
    </w:p>
    <w:p w:rsidR="002B5EF8" w:rsidRDefault="002B5EF8">
      <w:pPr>
        <w:pBdr>
          <w:top w:val="nil"/>
          <w:left w:val="nil"/>
          <w:bottom w:val="nil"/>
          <w:right w:val="nil"/>
          <w:between w:val="nil"/>
        </w:pBdr>
        <w:spacing w:before="0" w:after="0"/>
        <w:jc w:val="left"/>
        <w:rPr>
          <w:color w:val="000000"/>
          <w:szCs w:val="24"/>
        </w:rPr>
      </w:pPr>
    </w:p>
    <w:p w:rsidR="002B5EF8" w:rsidRDefault="00C66404">
      <w:pPr>
        <w:pBdr>
          <w:top w:val="nil"/>
          <w:left w:val="nil"/>
          <w:bottom w:val="nil"/>
          <w:right w:val="nil"/>
          <w:between w:val="nil"/>
        </w:pBdr>
        <w:spacing w:before="0" w:after="0"/>
        <w:rPr>
          <w:color w:val="000000"/>
          <w:szCs w:val="24"/>
        </w:rPr>
      </w:pPr>
      <w:r>
        <w:rPr>
          <w:color w:val="000000"/>
          <w:szCs w:val="24"/>
        </w:rPr>
        <w:t xml:space="preserve">El sistema nervioso, es el sistema encargado de transmitir señales entre el cerebro y el resto del cuerpo (MedlinePlus,2017); la exposición ocupacional al glifosato se ha relacionado con la afectación directa de este sistema en el ser humano, causando enfermedades como el trastorno del espectro autista, Parkinson, Alzheimer y trastorno del sueño. </w:t>
      </w:r>
    </w:p>
    <w:p w:rsidR="002B5EF8" w:rsidRDefault="002B5EF8">
      <w:pPr>
        <w:pBdr>
          <w:top w:val="nil"/>
          <w:left w:val="nil"/>
          <w:bottom w:val="nil"/>
          <w:right w:val="nil"/>
          <w:between w:val="nil"/>
        </w:pBdr>
        <w:spacing w:before="0" w:after="0"/>
        <w:rPr>
          <w:color w:val="000000"/>
          <w:szCs w:val="24"/>
        </w:rPr>
      </w:pPr>
    </w:p>
    <w:p w:rsidR="002B5EF8" w:rsidRDefault="00C66404">
      <w:pPr>
        <w:numPr>
          <w:ilvl w:val="0"/>
          <w:numId w:val="3"/>
        </w:numPr>
        <w:pBdr>
          <w:top w:val="nil"/>
          <w:left w:val="nil"/>
          <w:bottom w:val="nil"/>
          <w:right w:val="nil"/>
          <w:between w:val="nil"/>
        </w:pBdr>
        <w:spacing w:before="0" w:after="0"/>
        <w:ind w:left="426"/>
        <w:rPr>
          <w:color w:val="000000"/>
          <w:szCs w:val="24"/>
        </w:rPr>
      </w:pPr>
      <w:r>
        <w:rPr>
          <w:color w:val="000000"/>
          <w:szCs w:val="24"/>
        </w:rPr>
        <w:t>Trastorno del espectro autista. Es un conjunto de afectaciones a nivel neuronal, que causa conflictos de comunicación, de comportamiento, de interacción social entre otras afectaciones del desarrollo conductual (Altner</w:t>
      </w:r>
      <w:r>
        <w:rPr>
          <w:color w:val="000000"/>
          <w:szCs w:val="24"/>
          <w:shd w:val="clear" w:color="auto" w:fill="FFFFFB"/>
        </w:rPr>
        <w:t xml:space="preserve"> et al., </w:t>
      </w:r>
      <w:r>
        <w:rPr>
          <w:color w:val="000000"/>
          <w:szCs w:val="24"/>
        </w:rPr>
        <w:t xml:space="preserve">2018); la exposición aguda al glifosato genera un riesgo de pequeño a moderado para desarrollar el trastorno autista con exposición prenatal al glifosato (Fuhrimann et al., 2021), existiendo un mayor riesgo en los infantes, cuando la exposición se da durante el primer año de vida (Von Ehrenstein et al., 2019) </w:t>
      </w:r>
    </w:p>
    <w:p w:rsidR="002B5EF8" w:rsidRDefault="00C66404">
      <w:pPr>
        <w:numPr>
          <w:ilvl w:val="0"/>
          <w:numId w:val="3"/>
        </w:numPr>
        <w:pBdr>
          <w:top w:val="nil"/>
          <w:left w:val="nil"/>
          <w:bottom w:val="nil"/>
          <w:right w:val="nil"/>
          <w:between w:val="nil"/>
        </w:pBdr>
        <w:spacing w:before="0" w:after="0"/>
        <w:ind w:left="426"/>
        <w:rPr>
          <w:color w:val="000000"/>
          <w:szCs w:val="24"/>
        </w:rPr>
      </w:pPr>
      <w:r>
        <w:rPr>
          <w:color w:val="000000"/>
          <w:szCs w:val="24"/>
        </w:rPr>
        <w:t>Parkinson. Es un desorden neurodegenerativo especialmente en edades adultas, caracterizado por temblor involuntario, rigidez, pérdida de la expresión facial, salivación y manifestaciones psiquiátricas (Salamanca, 2004); la literatura menciona que la exposición al glifosato puede contribuir al desarrollo de Parkinson (Abdul et al., 2021), especialmente en personas vulnerables, como el caso de los agricultores y sus familias (Shrestha et al., 2020).</w:t>
      </w:r>
    </w:p>
    <w:p w:rsidR="002B5EF8" w:rsidRDefault="00C66404">
      <w:pPr>
        <w:numPr>
          <w:ilvl w:val="0"/>
          <w:numId w:val="3"/>
        </w:numPr>
        <w:pBdr>
          <w:top w:val="nil"/>
          <w:left w:val="nil"/>
          <w:bottom w:val="nil"/>
          <w:right w:val="nil"/>
          <w:between w:val="nil"/>
        </w:pBdr>
        <w:spacing w:before="0" w:after="0"/>
        <w:ind w:left="426"/>
        <w:rPr>
          <w:color w:val="000000"/>
          <w:szCs w:val="24"/>
        </w:rPr>
      </w:pPr>
      <w:r>
        <w:rPr>
          <w:color w:val="000000"/>
          <w:szCs w:val="24"/>
        </w:rPr>
        <w:t>Alzheimer. Trastorno neurológico progresivo que afecta habilidades cognitivas, sobre las que no existe ningún tipo de retroceso o disminución (Vasconcelos, 1990</w:t>
      </w:r>
      <w:proofErr w:type="gramStart"/>
      <w:r>
        <w:rPr>
          <w:color w:val="000000"/>
          <w:szCs w:val="24"/>
        </w:rPr>
        <w:t>);  diversas</w:t>
      </w:r>
      <w:proofErr w:type="gramEnd"/>
      <w:r>
        <w:rPr>
          <w:color w:val="000000"/>
          <w:szCs w:val="24"/>
        </w:rPr>
        <w:t xml:space="preserve"> investigaciones han declarado al glifosato como una sustancia causante de este tipo de trastornos (Abdul et al., 2021; Balderrama-Carmona et al., 2020) incrementandose el riesgo cuando se trata de comunidades expuestas continuamente al herbicida. </w:t>
      </w:r>
    </w:p>
    <w:p w:rsidR="002B5EF8" w:rsidRDefault="00C66404">
      <w:pPr>
        <w:numPr>
          <w:ilvl w:val="0"/>
          <w:numId w:val="3"/>
        </w:numPr>
        <w:pBdr>
          <w:top w:val="nil"/>
          <w:left w:val="nil"/>
          <w:bottom w:val="nil"/>
          <w:right w:val="nil"/>
          <w:between w:val="nil"/>
        </w:pBdr>
        <w:spacing w:before="0" w:after="0"/>
        <w:ind w:left="426"/>
        <w:rPr>
          <w:color w:val="000000"/>
          <w:szCs w:val="24"/>
        </w:rPr>
      </w:pPr>
      <w:r>
        <w:rPr>
          <w:color w:val="000000"/>
          <w:szCs w:val="24"/>
        </w:rPr>
        <w:t xml:space="preserve">Trastorno del sueño. Es una afectación que provoca cambios en la forma de dormir, esta patología no es grave en si misma, pero puede impactar negativamnete en la vida cotidiana de quien la padece (MedlinePlus, 2020); esta afectación puede deribarse de muchos factores como la exposición a químicos agricolas, siendo el caso del glifosato, relacionado con la alteración de marcadores biológicos que causan este tipo de trastornos. (Fuhrimann et al., 2022; Seneff et al., 2015) </w:t>
      </w:r>
    </w:p>
    <w:p w:rsidR="002B5EF8" w:rsidRDefault="002B5EF8">
      <w:pPr>
        <w:pBdr>
          <w:top w:val="nil"/>
          <w:left w:val="nil"/>
          <w:bottom w:val="nil"/>
          <w:right w:val="nil"/>
          <w:between w:val="nil"/>
        </w:pBdr>
        <w:spacing w:before="0" w:after="0"/>
        <w:jc w:val="left"/>
        <w:rPr>
          <w:color w:val="000000"/>
          <w:szCs w:val="24"/>
        </w:rPr>
      </w:pPr>
    </w:p>
    <w:p w:rsidR="002B5EF8" w:rsidRDefault="00C66404">
      <w:pPr>
        <w:numPr>
          <w:ilvl w:val="2"/>
          <w:numId w:val="4"/>
        </w:numPr>
        <w:pBdr>
          <w:top w:val="nil"/>
          <w:left w:val="nil"/>
          <w:bottom w:val="nil"/>
          <w:right w:val="nil"/>
          <w:between w:val="nil"/>
        </w:pBdr>
        <w:spacing w:before="0" w:after="0"/>
        <w:ind w:left="709"/>
        <w:jc w:val="left"/>
        <w:rPr>
          <w:b/>
          <w:i/>
          <w:color w:val="000000"/>
          <w:szCs w:val="24"/>
        </w:rPr>
      </w:pPr>
      <w:r>
        <w:rPr>
          <w:b/>
          <w:i/>
          <w:color w:val="000000"/>
          <w:szCs w:val="24"/>
        </w:rPr>
        <w:t xml:space="preserve">Afectaciones en el sistema endocrino </w:t>
      </w:r>
    </w:p>
    <w:p w:rsidR="002B5EF8" w:rsidRDefault="002B5EF8">
      <w:pPr>
        <w:pBdr>
          <w:top w:val="nil"/>
          <w:left w:val="nil"/>
          <w:bottom w:val="nil"/>
          <w:right w:val="nil"/>
          <w:between w:val="nil"/>
        </w:pBdr>
        <w:spacing w:before="0" w:after="0"/>
        <w:jc w:val="left"/>
        <w:rPr>
          <w:color w:val="000000"/>
          <w:szCs w:val="24"/>
        </w:rPr>
      </w:pPr>
    </w:p>
    <w:p w:rsidR="002B5EF8" w:rsidRDefault="00C66404">
      <w:pPr>
        <w:pBdr>
          <w:top w:val="nil"/>
          <w:left w:val="nil"/>
          <w:bottom w:val="nil"/>
          <w:right w:val="nil"/>
          <w:between w:val="nil"/>
        </w:pBdr>
        <w:spacing w:before="0" w:after="0"/>
        <w:rPr>
          <w:color w:val="000000"/>
          <w:szCs w:val="24"/>
        </w:rPr>
      </w:pPr>
      <w:r>
        <w:rPr>
          <w:color w:val="000000"/>
          <w:szCs w:val="24"/>
        </w:rPr>
        <w:t xml:space="preserve">El sistema endocrino, es un sistema de señales que cumple tareas similares a las desarrolladas por el sistema nervioso, pero que, a diferencia de este último trabaja con sustancias químicas (hormonas); la exposición ocupacional al glifosato se ha asociado como potencial causante de disfunciones endocrinas (secreción irregular de hormonas provenientes de alguna de las ocho glándulas principales) (MedlinePlus, 2020) dentro de las que se destacan afectaciones relacionadas con la hormona Tiroides y la diabetes. (MedlinePlus, 2021; Reiriz Palacios, 2009).   </w:t>
      </w:r>
    </w:p>
    <w:p w:rsidR="002B5EF8" w:rsidRDefault="002B5EF8">
      <w:pPr>
        <w:pBdr>
          <w:top w:val="nil"/>
          <w:left w:val="nil"/>
          <w:bottom w:val="nil"/>
          <w:right w:val="nil"/>
          <w:between w:val="nil"/>
        </w:pBdr>
        <w:spacing w:before="0" w:after="0"/>
        <w:rPr>
          <w:color w:val="000000"/>
          <w:szCs w:val="24"/>
        </w:rPr>
      </w:pPr>
    </w:p>
    <w:p w:rsidR="002B5EF8" w:rsidRDefault="00C66404">
      <w:pPr>
        <w:numPr>
          <w:ilvl w:val="0"/>
          <w:numId w:val="3"/>
        </w:numPr>
        <w:pBdr>
          <w:top w:val="nil"/>
          <w:left w:val="nil"/>
          <w:bottom w:val="nil"/>
          <w:right w:val="nil"/>
          <w:between w:val="nil"/>
        </w:pBdr>
        <w:spacing w:before="0" w:after="0"/>
        <w:ind w:left="426"/>
      </w:pPr>
      <w:r>
        <w:rPr>
          <w:color w:val="000000"/>
          <w:szCs w:val="24"/>
        </w:rPr>
        <w:lastRenderedPageBreak/>
        <w:t>Afectaciones en la Hormona Tiroides. Este tipo de afectación es consecuencia de disrupciones ocasionadas en la glándula tiroides y la hormona tiroidea, encargada de controlar varias actividades del organismo; estas afectaciones pueden ser el resultado de factores ambientales, como en el caso de los agricultores y su exposición ocupacional al glifosato, asociado con el aumento y/o disminución de la hormona tiroidea T4 (Kongtip et al., 2019, 2021; Santos et al., 2019), y el desarrollo de enfermedades como el hipotiroidismo (Shrestha et al., 2018) y el hipertiroidismo (Kongtip et al., 2021).</w:t>
      </w:r>
    </w:p>
    <w:p w:rsidR="002B5EF8" w:rsidRDefault="00C66404">
      <w:pPr>
        <w:numPr>
          <w:ilvl w:val="0"/>
          <w:numId w:val="3"/>
        </w:numPr>
        <w:pBdr>
          <w:top w:val="nil"/>
          <w:left w:val="nil"/>
          <w:bottom w:val="nil"/>
          <w:right w:val="nil"/>
          <w:between w:val="nil"/>
        </w:pBdr>
        <w:spacing w:before="0" w:after="0"/>
        <w:ind w:left="426"/>
      </w:pPr>
      <w:r>
        <w:rPr>
          <w:color w:val="000000"/>
          <w:szCs w:val="24"/>
        </w:rPr>
        <w:t>Diabetes, Es un tipo de enfermedad que altera la manera en la que el cuerpo utiliza la glucosa del torrente sanguíneo (Clinica Mayo, 2022), en este caso, el azúcar en la sangre es demasiado alto; esta afectación, puede desarrollarse por enfermedades de tipo hormonal, especialmente cuando hay exposición a productos químicos como es el caso de la población en estudio de este proyecto, propensa a desarrollar diabetes mellitus (Balderrama-Carmona et al., 2019; Cattelan, et al., 2018), por exposición al glifosato no solo durante la aplicación del herbicida, sino también durante el consumo de suministros básicos como el agua mientras están desarrollando sus labores.</w:t>
      </w:r>
    </w:p>
    <w:p w:rsidR="002B5EF8" w:rsidRDefault="002B5EF8">
      <w:pPr>
        <w:pBdr>
          <w:top w:val="nil"/>
          <w:left w:val="nil"/>
          <w:bottom w:val="nil"/>
          <w:right w:val="nil"/>
          <w:between w:val="nil"/>
        </w:pBdr>
        <w:spacing w:before="0" w:after="0"/>
        <w:jc w:val="left"/>
        <w:rPr>
          <w:color w:val="000000"/>
          <w:szCs w:val="24"/>
        </w:rPr>
      </w:pPr>
    </w:p>
    <w:p w:rsidR="002B5EF8" w:rsidRDefault="00C66404">
      <w:pPr>
        <w:numPr>
          <w:ilvl w:val="2"/>
          <w:numId w:val="4"/>
        </w:numPr>
        <w:pBdr>
          <w:top w:val="nil"/>
          <w:left w:val="nil"/>
          <w:bottom w:val="nil"/>
          <w:right w:val="nil"/>
          <w:between w:val="nil"/>
        </w:pBdr>
        <w:spacing w:before="0" w:after="0"/>
        <w:ind w:left="709"/>
        <w:jc w:val="left"/>
        <w:rPr>
          <w:b/>
          <w:i/>
          <w:color w:val="000000"/>
          <w:szCs w:val="24"/>
        </w:rPr>
      </w:pPr>
      <w:r>
        <w:rPr>
          <w:b/>
          <w:i/>
          <w:color w:val="000000"/>
          <w:szCs w:val="24"/>
        </w:rPr>
        <w:t>Afectaciones al sistema Inmunitario</w:t>
      </w:r>
    </w:p>
    <w:p w:rsidR="002B5EF8" w:rsidRDefault="002B5EF8">
      <w:pPr>
        <w:pBdr>
          <w:top w:val="nil"/>
          <w:left w:val="nil"/>
          <w:bottom w:val="nil"/>
          <w:right w:val="nil"/>
          <w:between w:val="nil"/>
        </w:pBdr>
        <w:spacing w:before="0" w:after="0"/>
        <w:jc w:val="left"/>
        <w:rPr>
          <w:color w:val="000000"/>
          <w:szCs w:val="24"/>
        </w:rPr>
      </w:pPr>
    </w:p>
    <w:p w:rsidR="002B5EF8" w:rsidRDefault="00C66404">
      <w:pPr>
        <w:pBdr>
          <w:top w:val="nil"/>
          <w:left w:val="nil"/>
          <w:bottom w:val="nil"/>
          <w:right w:val="nil"/>
          <w:between w:val="nil"/>
        </w:pBdr>
        <w:spacing w:before="0" w:after="0"/>
        <w:rPr>
          <w:color w:val="000000"/>
          <w:szCs w:val="24"/>
        </w:rPr>
      </w:pPr>
      <w:r>
        <w:rPr>
          <w:color w:val="000000"/>
          <w:szCs w:val="24"/>
        </w:rPr>
        <w:t>El sistema inmunitario, es el encargado de proteger al cuerpo de agentes que pueda afectarlo (Clinica Universidad de los Andes, 2020); el aparato inmunitario, puede sufrir daños como consecuencia de la exposición a agentes externos como los químicos agrícolas capaces de generar enfermedades entre las que se destacan la inmunotoxicidad y el Linfoma no hodgking.</w:t>
      </w:r>
    </w:p>
    <w:p w:rsidR="002B5EF8" w:rsidRDefault="002B5EF8">
      <w:pPr>
        <w:pBdr>
          <w:top w:val="nil"/>
          <w:left w:val="nil"/>
          <w:bottom w:val="nil"/>
          <w:right w:val="nil"/>
          <w:between w:val="nil"/>
        </w:pBdr>
        <w:spacing w:before="0" w:after="0"/>
        <w:rPr>
          <w:color w:val="000000"/>
          <w:szCs w:val="24"/>
        </w:rPr>
      </w:pPr>
    </w:p>
    <w:p w:rsidR="002B5EF8" w:rsidRDefault="00C66404">
      <w:pPr>
        <w:numPr>
          <w:ilvl w:val="0"/>
          <w:numId w:val="3"/>
        </w:numPr>
        <w:pBdr>
          <w:top w:val="nil"/>
          <w:left w:val="nil"/>
          <w:bottom w:val="nil"/>
          <w:right w:val="nil"/>
          <w:between w:val="nil"/>
        </w:pBdr>
        <w:spacing w:before="0" w:after="0"/>
        <w:ind w:left="426"/>
        <w:rPr>
          <w:color w:val="000000"/>
          <w:szCs w:val="24"/>
        </w:rPr>
      </w:pPr>
      <w:r>
        <w:rPr>
          <w:color w:val="000000"/>
          <w:szCs w:val="24"/>
        </w:rPr>
        <w:t>Inmunotoxicidad</w:t>
      </w:r>
      <w:r>
        <w:rPr>
          <w:b/>
          <w:color w:val="000000"/>
          <w:szCs w:val="24"/>
        </w:rPr>
        <w:t xml:space="preserve">. </w:t>
      </w:r>
      <w:r>
        <w:rPr>
          <w:color w:val="000000"/>
          <w:szCs w:val="24"/>
        </w:rPr>
        <w:t>Daño en el sistema inmunitario, causado por la exposición a sustancias químicas generalmente de tipo tóxica para el cuerpo</w:t>
      </w:r>
      <w:r>
        <w:rPr>
          <w:b/>
          <w:color w:val="000000"/>
          <w:szCs w:val="24"/>
        </w:rPr>
        <w:t xml:space="preserve"> </w:t>
      </w:r>
      <w:r>
        <w:rPr>
          <w:color w:val="000000"/>
          <w:szCs w:val="24"/>
        </w:rPr>
        <w:t>(Fundación Carlos Slim, 2019); una de las sustancias categorizada como inmunotoxigenica, es el glifosato, (Balderrama-Carmona et al., 2020), etiquetada como sustancia citotóxica, siendo capaz de provocar pérdidas significativas en la actividad fisiológica de las células del sistema de defensa y, por tanto, debilitar todo el organismo (Barbasz et al., 2020).</w:t>
      </w:r>
    </w:p>
    <w:p w:rsidR="002B5EF8" w:rsidRDefault="00C66404">
      <w:pPr>
        <w:numPr>
          <w:ilvl w:val="0"/>
          <w:numId w:val="3"/>
        </w:numPr>
        <w:pBdr>
          <w:top w:val="nil"/>
          <w:left w:val="nil"/>
          <w:bottom w:val="nil"/>
          <w:right w:val="nil"/>
          <w:between w:val="nil"/>
        </w:pBdr>
        <w:spacing w:before="0" w:after="0"/>
        <w:ind w:left="426"/>
        <w:rPr>
          <w:color w:val="000000"/>
          <w:szCs w:val="24"/>
        </w:rPr>
      </w:pPr>
      <w:r>
        <w:rPr>
          <w:color w:val="000000"/>
          <w:szCs w:val="24"/>
        </w:rPr>
        <w:t>Linfoma no Hodgking. Es un tipo de cáncer que inicia en los glóbulos blancos, células encargadas de combatir las infecciones y/o enfermedades (American Cancer Society, 2018); el glifosato, se ha asociado con la generación de esta enfermedad, aumentando su riesgo hasta en un 41%, (Gillezeau et al., 2020) especialmente en las células B (Leon et al., 2019), que demuestran una correlación estadísticas y directas de la exposición ocupacional al glifosato y la aparición de LNH (Pahwa et al., 2019)</w:t>
      </w:r>
    </w:p>
    <w:p w:rsidR="002B5EF8" w:rsidRDefault="002B5EF8">
      <w:pPr>
        <w:pBdr>
          <w:top w:val="nil"/>
          <w:left w:val="nil"/>
          <w:bottom w:val="nil"/>
          <w:right w:val="nil"/>
          <w:between w:val="nil"/>
        </w:pBdr>
        <w:spacing w:before="0" w:after="0"/>
        <w:jc w:val="left"/>
        <w:rPr>
          <w:color w:val="000000"/>
          <w:szCs w:val="24"/>
        </w:rPr>
      </w:pPr>
    </w:p>
    <w:p w:rsidR="002B5EF8" w:rsidRDefault="00C66404">
      <w:pPr>
        <w:numPr>
          <w:ilvl w:val="2"/>
          <w:numId w:val="4"/>
        </w:numPr>
        <w:pBdr>
          <w:top w:val="nil"/>
          <w:left w:val="nil"/>
          <w:bottom w:val="nil"/>
          <w:right w:val="nil"/>
          <w:between w:val="nil"/>
        </w:pBdr>
        <w:spacing w:before="0" w:after="0"/>
        <w:ind w:left="709"/>
        <w:jc w:val="left"/>
        <w:rPr>
          <w:b/>
          <w:i/>
          <w:color w:val="000000"/>
          <w:szCs w:val="24"/>
        </w:rPr>
      </w:pPr>
      <w:r>
        <w:rPr>
          <w:b/>
          <w:i/>
          <w:color w:val="000000"/>
          <w:szCs w:val="24"/>
        </w:rPr>
        <w:t>Afectaciones en el sistema Cardiovascular</w:t>
      </w:r>
    </w:p>
    <w:p w:rsidR="002B5EF8" w:rsidRDefault="002B5EF8">
      <w:pPr>
        <w:pBdr>
          <w:top w:val="nil"/>
          <w:left w:val="nil"/>
          <w:bottom w:val="nil"/>
          <w:right w:val="nil"/>
          <w:between w:val="nil"/>
        </w:pBdr>
        <w:spacing w:before="0" w:after="0"/>
        <w:jc w:val="left"/>
        <w:rPr>
          <w:color w:val="000000"/>
          <w:szCs w:val="24"/>
        </w:rPr>
      </w:pPr>
    </w:p>
    <w:p w:rsidR="002B5EF8" w:rsidRDefault="00C66404">
      <w:pPr>
        <w:pBdr>
          <w:top w:val="nil"/>
          <w:left w:val="nil"/>
          <w:bottom w:val="nil"/>
          <w:right w:val="nil"/>
          <w:between w:val="nil"/>
        </w:pBdr>
        <w:spacing w:before="0" w:after="0"/>
        <w:rPr>
          <w:color w:val="000000"/>
          <w:szCs w:val="24"/>
        </w:rPr>
      </w:pPr>
      <w:r>
        <w:rPr>
          <w:color w:val="000000"/>
          <w:szCs w:val="24"/>
        </w:rPr>
        <w:t xml:space="preserve">El sistema cardiovascular, es uno de los sistemas funcionales encargado de “suministrar oxígeno desde los pulmones a los tejidos del cuerpo a través de la sangre gracias al bombeo del corazón” (Bupa, 2020); este sistema puede verse afectado por la exposición al glifosato (Abdul, y otros, 2021), señalado de ser el causante de alteraciones en algunos biomarcadores cardiacos (Amoatey et al., 2020) y ser potencial generador de enfermedades como la hipertensión. </w:t>
      </w:r>
    </w:p>
    <w:p w:rsidR="002B5EF8" w:rsidRDefault="002B5EF8">
      <w:pPr>
        <w:pBdr>
          <w:top w:val="nil"/>
          <w:left w:val="nil"/>
          <w:bottom w:val="nil"/>
          <w:right w:val="nil"/>
          <w:between w:val="nil"/>
        </w:pBdr>
        <w:spacing w:before="0" w:after="0"/>
        <w:rPr>
          <w:color w:val="000000"/>
          <w:szCs w:val="24"/>
        </w:rPr>
      </w:pPr>
    </w:p>
    <w:p w:rsidR="002B5EF8" w:rsidRDefault="00C66404">
      <w:pPr>
        <w:numPr>
          <w:ilvl w:val="0"/>
          <w:numId w:val="3"/>
        </w:numPr>
        <w:pBdr>
          <w:top w:val="nil"/>
          <w:left w:val="nil"/>
          <w:bottom w:val="nil"/>
          <w:right w:val="nil"/>
          <w:between w:val="nil"/>
        </w:pBdr>
        <w:spacing w:before="0" w:after="0"/>
        <w:ind w:left="426"/>
      </w:pPr>
      <w:r>
        <w:rPr>
          <w:color w:val="000000"/>
          <w:szCs w:val="24"/>
        </w:rPr>
        <w:t>Hipertensión. Afectación relacionada con el incremento de los niveles de la presión arterial (MedlinePlus, 2022); el uso del glifosato se ha asociado directamente con el alto potencial para desarrollar esta afectación en los trabajadores del campo que manipulan el agroquímico durante el desarrollo de sus labores (Leyva-Soto et al., 2018; Balderrama-Carmona et al., 2019)</w:t>
      </w:r>
    </w:p>
    <w:p w:rsidR="002B5EF8" w:rsidRDefault="002B5EF8">
      <w:pPr>
        <w:pBdr>
          <w:top w:val="nil"/>
          <w:left w:val="nil"/>
          <w:bottom w:val="nil"/>
          <w:right w:val="nil"/>
          <w:between w:val="nil"/>
        </w:pBdr>
        <w:spacing w:before="0" w:after="0"/>
        <w:ind w:left="426"/>
        <w:rPr>
          <w:color w:val="000000"/>
          <w:szCs w:val="24"/>
        </w:rPr>
      </w:pPr>
    </w:p>
    <w:p w:rsidR="002B5EF8" w:rsidRDefault="00C66404">
      <w:pPr>
        <w:numPr>
          <w:ilvl w:val="2"/>
          <w:numId w:val="4"/>
        </w:numPr>
        <w:pBdr>
          <w:top w:val="nil"/>
          <w:left w:val="nil"/>
          <w:bottom w:val="nil"/>
          <w:right w:val="nil"/>
          <w:between w:val="nil"/>
        </w:pBdr>
        <w:spacing w:before="0" w:after="0"/>
        <w:ind w:left="709"/>
        <w:jc w:val="left"/>
        <w:rPr>
          <w:b/>
          <w:i/>
          <w:color w:val="000000"/>
          <w:szCs w:val="24"/>
        </w:rPr>
      </w:pPr>
      <w:r>
        <w:rPr>
          <w:b/>
          <w:i/>
          <w:color w:val="000000"/>
          <w:szCs w:val="24"/>
        </w:rPr>
        <w:t xml:space="preserve">Afectaciones en el sistema respiratorio </w:t>
      </w:r>
    </w:p>
    <w:p w:rsidR="002B5EF8" w:rsidRDefault="002B5EF8">
      <w:pPr>
        <w:pBdr>
          <w:top w:val="nil"/>
          <w:left w:val="nil"/>
          <w:bottom w:val="nil"/>
          <w:right w:val="nil"/>
          <w:between w:val="nil"/>
        </w:pBdr>
        <w:spacing w:before="0" w:after="0"/>
        <w:jc w:val="left"/>
        <w:rPr>
          <w:color w:val="000000"/>
          <w:szCs w:val="24"/>
        </w:rPr>
      </w:pPr>
    </w:p>
    <w:p w:rsidR="002B5EF8" w:rsidRDefault="00C66404">
      <w:pPr>
        <w:pBdr>
          <w:top w:val="nil"/>
          <w:left w:val="nil"/>
          <w:bottom w:val="nil"/>
          <w:right w:val="nil"/>
          <w:between w:val="nil"/>
        </w:pBdr>
        <w:spacing w:before="0" w:after="0"/>
        <w:rPr>
          <w:color w:val="000000"/>
          <w:szCs w:val="24"/>
        </w:rPr>
      </w:pPr>
      <w:r>
        <w:rPr>
          <w:color w:val="000000"/>
          <w:szCs w:val="24"/>
        </w:rPr>
        <w:t>El sistema respiratorio, es el encargado de distribuir el aire y realizar el intercambio gaseoso que requiere el cuerpo, posibilitando el sentido del olfato y contribuyendo en la regulación del ph.  (Diego, 2014); El aparato respiratorio puede verse comprometido por factores relacionados con el ambiente (exposición a pesticidas), capaces de ocasionar graves dificultades respiratorias.</w:t>
      </w:r>
    </w:p>
    <w:p w:rsidR="002B5EF8" w:rsidRDefault="002B5EF8">
      <w:pPr>
        <w:pBdr>
          <w:top w:val="nil"/>
          <w:left w:val="nil"/>
          <w:bottom w:val="nil"/>
          <w:right w:val="nil"/>
          <w:between w:val="nil"/>
        </w:pBdr>
        <w:spacing w:before="0" w:after="0"/>
        <w:rPr>
          <w:color w:val="000000"/>
          <w:szCs w:val="24"/>
        </w:rPr>
      </w:pPr>
    </w:p>
    <w:p w:rsidR="002B5EF8" w:rsidRDefault="00C66404">
      <w:pPr>
        <w:numPr>
          <w:ilvl w:val="0"/>
          <w:numId w:val="3"/>
        </w:numPr>
        <w:pBdr>
          <w:top w:val="nil"/>
          <w:left w:val="nil"/>
          <w:bottom w:val="nil"/>
          <w:right w:val="nil"/>
          <w:between w:val="nil"/>
        </w:pBdr>
        <w:spacing w:before="0" w:after="0"/>
        <w:ind w:left="426"/>
      </w:pPr>
      <w:r>
        <w:rPr>
          <w:color w:val="000000"/>
          <w:szCs w:val="24"/>
        </w:rPr>
        <w:t>Dificultades respiratorias. Afectaciones relacionadas con: “opresión intensa en el pecho, falta de aire, dificultad para respirar, falta de aliento o una sensación de ahogo” (Clínica Mayo, 2022); este tipo de dificultades se han relacionado como consecuencia de la exposición ocupacional al glifosato, generando la obstrucción de las vías respiratorias (Amoatey et al., 2020; Kongtip et al., 2021) y ser un potencial causante de enfermedades como la rinitis alérgica, (Díaz-Criollo et al., 2020)</w:t>
      </w:r>
    </w:p>
    <w:p w:rsidR="002B5EF8" w:rsidRDefault="00C66404">
      <w:pPr>
        <w:pStyle w:val="Ttulo1"/>
        <w:numPr>
          <w:ilvl w:val="0"/>
          <w:numId w:val="4"/>
        </w:numPr>
        <w:ind w:left="142" w:hanging="284"/>
      </w:pPr>
      <w:r>
        <w:t xml:space="preserve">Discusiones y Conclusiones </w:t>
      </w:r>
    </w:p>
    <w:p w:rsidR="002B5EF8" w:rsidRDefault="002B5EF8">
      <w:pPr>
        <w:pBdr>
          <w:top w:val="nil"/>
          <w:left w:val="nil"/>
          <w:bottom w:val="nil"/>
          <w:right w:val="nil"/>
          <w:between w:val="nil"/>
        </w:pBdr>
        <w:spacing w:before="0" w:after="0"/>
        <w:rPr>
          <w:color w:val="000000"/>
          <w:szCs w:val="24"/>
        </w:rPr>
      </w:pPr>
    </w:p>
    <w:p w:rsidR="002B5EF8" w:rsidRDefault="00C66404">
      <w:r>
        <w:t xml:space="preserve">El presente trabajo tuvo como propósito desarrollar una revisión literaria respecto a los efectos adversos generados por la exposición ocupacional al glifosato en la comunidad agrícola, población expuesta ocupacionalmente a este agroquímico utilizado para la erradicación de maleza en cultivos alimenticios. Inicialmente, gracias a la inmersión teórica realizada, se encontró un amplio interés de la comunidad científica respecto a los efectos adversos por exposición al glifosato, un herbicida de amplia utilización, que tan solo en Colombia durante los años 2019 y 2021 reportó ventas anuales de 35 millones de kilolitros. De acuerdo con la revisión de literatura, el glifosato pese a ser un herbicida que ha contribuido al cuidado de cultivos, aumentando la productividad agrícola, también ha sido asociado a la generación de graves afectaciones como el cáncer según entidades como la Organización Mundial de la Salud y la Agencia Internacional de Investigación contra el Cáncer.  </w:t>
      </w:r>
    </w:p>
    <w:p w:rsidR="002B5EF8" w:rsidRDefault="00C66404">
      <w:r>
        <w:t xml:space="preserve">Seguidamente, a partir de la revisión bibliográfica realizada se reafirma el interés sobre la temática en cuestión dado el significativo aporte de los artículos seleccionados para la resolución de la pregunta de investigación, resaltando el número creciente de publicaciones que del año 2015 al 2021 pasó de 4 publicaciones anuales a 10; adicionalmente se infiere una relación entre los países que más adquieren el pesticida glifosato para fines agrícolas y el número de investigaciones publicadas, siendo el caso específico de Estados Unidos y Brasil, destacando especialmente este último por ser el país  de Latinoamérica que más gasta dinero en este producto. </w:t>
      </w:r>
    </w:p>
    <w:p w:rsidR="002B5EF8" w:rsidRDefault="00C66404">
      <w:r>
        <w:t xml:space="preserve">Categorizando y Clasificando las afectaciones y/o enfermedades producto del análisis bibliográfico, se concluyó que la exposición ocupacional a glifosato afecta los sistemas </w:t>
      </w:r>
      <w:r>
        <w:lastRenderedPageBreak/>
        <w:t>orgánicos del cuerpo humano, como lo son: el sistema urinario, sistema nervioso, sistema endocrino, sistema inmunitario, sistema cardiovascular y sistema respiratorio, arrojando en total más de 100 enfermedades asociadas con la exposición ocupacional a dicho producto.</w:t>
      </w:r>
    </w:p>
    <w:p w:rsidR="002B5EF8" w:rsidRDefault="00C66404">
      <w:bookmarkStart w:id="3" w:name="_heading=h.3znysh7" w:colFirst="0" w:colLast="0"/>
      <w:bookmarkEnd w:id="3"/>
      <w:r>
        <w:t>De las afectaciones a la salud identificadas producto de la investigación, las más reiterativas y citadas en los artículos encontrados son las del sistema urinario siendo estas específicamente: la enfermedad renal crónica de origen desconocido, la insuficiencia renal y los efectos nefrotóxicos.</w:t>
      </w:r>
    </w:p>
    <w:p w:rsidR="002B5EF8" w:rsidRDefault="00C66404">
      <w:bookmarkStart w:id="4" w:name="_heading=h.2et92p0" w:colFirst="0" w:colLast="0"/>
      <w:bookmarkEnd w:id="4"/>
      <w:r>
        <w:t xml:space="preserve">La investigación señala que el glifosato ha demostrado presentar afectación del sistema nervioso central; las patologías asociadas a este sistema que tienen mayor incidencia en la población ocupacionalmente expuesta son el Trastorno del espectro autista, Parkinson, alzhéimer y trastorno del sueño. </w:t>
      </w:r>
    </w:p>
    <w:p w:rsidR="002B5EF8" w:rsidRDefault="00C66404">
      <w:r>
        <w:t xml:space="preserve">La literatura científica y los estudios epidemiológicos realizados señalan la afectación en mujeres en estado de embarazo e incluso neonatos, por lo cual es imperante el control y protección de exposición a glifosato en trabajadoras bajo dicha condición. </w:t>
      </w:r>
    </w:p>
    <w:p w:rsidR="002B5EF8" w:rsidRDefault="00C66404">
      <w:r>
        <w:t xml:space="preserve">La presente investigación evidencia que hay un daño en la salud de los agricultores expuestos ocupacionalmente al glifosato, por consiguiente, se debe seguir investigando sobre esta temática y haciendo públicos sus resultados; de igual forma se recomienda velar desde el ministerio de trabajo, las administradoras de riesgos laborales y el ministerio de agricultura y desarrollo rural, por la implementación de estrategias de seguridad y salud en el trabajo dirigidas a la población agrícola, puesto que dicha comunidad posee un conocimiento casi nulo de esta temática; finalmente se sugiere someter a estudio para publicación en revista indexada, el presente artículo de manera que se constituya en un importante aporte a la comunidad académica y científica por parte de la Universidad Industrial de Santander. </w:t>
      </w:r>
    </w:p>
    <w:p w:rsidR="002B5EF8" w:rsidRDefault="00C66404">
      <w:pPr>
        <w:pStyle w:val="Ttulo1"/>
        <w:jc w:val="left"/>
      </w:pPr>
      <w:r>
        <w:t>Referencias bibliográficas</w:t>
      </w:r>
    </w:p>
    <w:p w:rsidR="002B5EF8" w:rsidRDefault="002B5EF8">
      <w:pPr>
        <w:pBdr>
          <w:top w:val="nil"/>
          <w:left w:val="nil"/>
          <w:bottom w:val="nil"/>
          <w:right w:val="nil"/>
          <w:between w:val="nil"/>
        </w:pBdr>
        <w:spacing w:before="0" w:after="160"/>
        <w:ind w:firstLine="720"/>
        <w:rPr>
          <w:color w:val="000000"/>
          <w:szCs w:val="24"/>
        </w:rPr>
      </w:pPr>
    </w:p>
    <w:p w:rsidR="002B5EF8" w:rsidRDefault="00C66404">
      <w:pPr>
        <w:widowControl w:val="0"/>
      </w:pPr>
      <w:r>
        <w:t xml:space="preserve">Abdul, K. S. M., De Silva, P. M. C. S., Ekanayake, E. M. D. V., Thakshila, W. A. K. G., Gunarathna, S. D., Gunasekara, T. D. K. S. C., Jayasinghe, S. S., Asanthi, H. B., Chandana, E. P. S., Chaminda, G. G. T., Siribaddana, S. H., &amp; Jayasundara, N. (2021). Occupational paraquat and glyphosate exposure may decline renal functions among rural farming communities in Sri Lanka. </w:t>
      </w:r>
      <w:r>
        <w:rPr>
          <w:i/>
        </w:rPr>
        <w:t>International Journal of Environmental Research and Public Health</w:t>
      </w:r>
      <w:r>
        <w:t xml:space="preserve">, </w:t>
      </w:r>
      <w:r>
        <w:rPr>
          <w:i/>
        </w:rPr>
        <w:t>18</w:t>
      </w:r>
      <w:r>
        <w:t xml:space="preserve">(6), 1–19. https://doi.org/10.3390/ijerph18063278 </w:t>
      </w:r>
    </w:p>
    <w:p w:rsidR="00B27775" w:rsidRPr="00B27775" w:rsidRDefault="00B27775">
      <w:pPr>
        <w:widowControl w:val="0"/>
        <w:rPr>
          <w:lang w:val="en-US"/>
        </w:rPr>
      </w:pPr>
      <w:r w:rsidRPr="00B27775">
        <w:t xml:space="preserve">Alavanja, MCR., Shrestha, S., Umbach, DM., Beane Freeman, LE., Koutros, S., Blair, A., Chen, H., Sandler, DP. Occupational pesticide use and self-reported olfactory impairment in US farmers. Occup Environ Med. 2020 Oct </w:t>
      </w:r>
      <w:proofErr w:type="gramStart"/>
      <w:r w:rsidRPr="00B27775">
        <w:t>23:oemed</w:t>
      </w:r>
      <w:proofErr w:type="gramEnd"/>
      <w:r w:rsidRPr="00B27775">
        <w:t xml:space="preserve">-2020-106818. doi: 10.1136/oemed-2020-106818. </w:t>
      </w:r>
    </w:p>
    <w:p w:rsidR="002B5EF8" w:rsidRDefault="00C66404">
      <w:pPr>
        <w:pBdr>
          <w:top w:val="nil"/>
          <w:left w:val="nil"/>
          <w:bottom w:val="nil"/>
          <w:right w:val="nil"/>
          <w:between w:val="nil"/>
        </w:pBdr>
        <w:rPr>
          <w:color w:val="000000"/>
          <w:szCs w:val="24"/>
        </w:rPr>
      </w:pPr>
      <w:r>
        <w:rPr>
          <w:color w:val="000000"/>
          <w:szCs w:val="24"/>
        </w:rPr>
        <w:t xml:space="preserve">American Cancer Society. (1 de </w:t>
      </w:r>
      <w:proofErr w:type="gramStart"/>
      <w:r>
        <w:rPr>
          <w:color w:val="000000"/>
          <w:szCs w:val="24"/>
        </w:rPr>
        <w:t>Agosto</w:t>
      </w:r>
      <w:proofErr w:type="gramEnd"/>
      <w:r>
        <w:rPr>
          <w:color w:val="000000"/>
          <w:szCs w:val="24"/>
        </w:rPr>
        <w:t xml:space="preserve"> de 2018). </w:t>
      </w:r>
      <w:r>
        <w:rPr>
          <w:i/>
          <w:color w:val="000000"/>
          <w:szCs w:val="24"/>
        </w:rPr>
        <w:t>ACERCA DEL LINFOMA NO HODGKIN.</w:t>
      </w:r>
      <w:r>
        <w:rPr>
          <w:color w:val="000000"/>
          <w:szCs w:val="24"/>
        </w:rPr>
        <w:t xml:space="preserve"> Obtenido de https://www.cancer.org/es/cancer/linfoma-no-hodgkin/acerca/que-es-linfoma-no-hodgkin.html</w:t>
      </w:r>
    </w:p>
    <w:p w:rsidR="002B5EF8" w:rsidRDefault="00C66404">
      <w:pPr>
        <w:widowControl w:val="0"/>
      </w:pPr>
      <w:r>
        <w:t xml:space="preserve">American Kidney Fund. (2021). </w:t>
      </w:r>
      <w:r>
        <w:rPr>
          <w:i/>
        </w:rPr>
        <w:t>Prueba de creatinina serica</w:t>
      </w:r>
      <w:r>
        <w:t>. https://www.kidneyfund.org/en-espanol/enfermedad-de-los-rinones/prevencion/pruebas-para-detectar-enfermedad-renal/prueba-de-creatinina-</w:t>
      </w:r>
      <w:r>
        <w:lastRenderedPageBreak/>
        <w:t xml:space="preserve">serica.html </w:t>
      </w:r>
    </w:p>
    <w:p w:rsidR="002B5EF8" w:rsidRDefault="00C66404">
      <w:pPr>
        <w:widowControl w:val="0"/>
      </w:pPr>
      <w:r>
        <w:t>Amoatey, P., Al-Mayahi, A., Omidvarborna, H., Baawain, M. S., &amp; Sulaiman, H. (2020). Occupational exposure to pesticides and associated health effects among greenhouse farm workers. Environmental Science and Pollution Research.</w:t>
      </w:r>
    </w:p>
    <w:p w:rsidR="00590D00" w:rsidRDefault="00590D00">
      <w:pPr>
        <w:widowControl w:val="0"/>
      </w:pPr>
      <w:r w:rsidRPr="00590D00">
        <w:rPr>
          <w:lang w:val="en-US"/>
        </w:rPr>
        <w:t xml:space="preserve">Andreotti, G., Koutros, S., Hofmann, J., Sandler, D., Lubin, J., Lynch, C., . . . Beane, L. (2017). Glyphosate Use and Cancer Incidence in the Agricultural Health Study. </w:t>
      </w:r>
      <w:r w:rsidRPr="00590D00">
        <w:rPr>
          <w:i/>
          <w:iCs/>
        </w:rPr>
        <w:t>JNCI: Journal of the National Cancer Institute</w:t>
      </w:r>
      <w:r w:rsidRPr="00590D00">
        <w:t>, 509-516.</w:t>
      </w:r>
    </w:p>
    <w:p w:rsidR="00991A37" w:rsidRDefault="00991A37">
      <w:pPr>
        <w:widowControl w:val="0"/>
      </w:pPr>
      <w:r w:rsidRPr="00991A37">
        <w:t>Antoniolli, ÂR., Sena, TRR., Dourado, SSF. Audição em altas frequências em trabalhadores rurais expostos a agrotóxicos [High frequency hearing among rural workers exposed to pesticides]. Cien Saude Colet. 2019 Sep 26;24(10):3923-3932. Portuguese. doi: 10.1590/1413-812320182410.18172017.</w:t>
      </w:r>
    </w:p>
    <w:p w:rsidR="002B5EF8" w:rsidRDefault="00C66404">
      <w:pPr>
        <w:widowControl w:val="0"/>
      </w:pPr>
      <w:r>
        <w:t xml:space="preserve">Altner, D. S., Rojas, A. C., &amp; Servi, L. D. (2018). Trastorno del espectro autista. </w:t>
      </w:r>
      <w:r>
        <w:rPr>
          <w:i/>
        </w:rPr>
        <w:t>Journal of Scheduling</w:t>
      </w:r>
      <w:r>
        <w:t xml:space="preserve">, </w:t>
      </w:r>
      <w:r>
        <w:rPr>
          <w:i/>
        </w:rPr>
        <w:t>21</w:t>
      </w:r>
      <w:r>
        <w:t xml:space="preserve">(5), 517–531. </w:t>
      </w:r>
      <w:hyperlink r:id="rId12" w:history="1">
        <w:r w:rsidR="001134ED" w:rsidRPr="001134ED">
          <w:rPr>
            <w:rStyle w:val="Hipervnculo"/>
            <w:color w:val="auto"/>
            <w:u w:val="none"/>
          </w:rPr>
          <w:t>https://doi.org/10.1007/s10951-017-0554-9</w:t>
        </w:r>
      </w:hyperlink>
    </w:p>
    <w:p w:rsidR="00A854EC" w:rsidRDefault="00A854EC">
      <w:pPr>
        <w:widowControl w:val="0"/>
      </w:pPr>
      <w:r w:rsidRPr="00A854EC">
        <w:t>Asensio, C., Butler-Dawson, J., Cruz, A., Dally, M., James, KA., Jaramillo, D., Johnson EC., Johnson, EC., Johnson RJ., Krisher, L., Newman, LS., Pilloni, D., Yoder, H. (2021). Sugarcane Workweek Study: Mechanisms Underlying Daily Changes in Creatinine. Kidney International Reports. 6. 10.1016/j.ekir.2021.08.014.</w:t>
      </w:r>
    </w:p>
    <w:p w:rsidR="001134ED" w:rsidRDefault="001134ED">
      <w:pPr>
        <w:widowControl w:val="0"/>
      </w:pPr>
      <w:r w:rsidRPr="001134ED">
        <w:t xml:space="preserve">Ashby, JL., Parvez, S., Gerona, RR., Proctor, C., Friesen, M., Reiter, JL., Lui, Z., Winchester, PD. Glyphosate exposure in pregnancy and shortened gestational length: a prospective Indiana birth cohort study. Environ Health. 2018 Mar 9;17(1):23. doi: 10.1186/s12940-018-0367-0. </w:t>
      </w:r>
    </w:p>
    <w:p w:rsidR="002B5EF8" w:rsidRDefault="00C66404">
      <w:pPr>
        <w:widowControl w:val="0"/>
        <w:rPr>
          <w:sz w:val="22"/>
        </w:rPr>
      </w:pPr>
      <w:r>
        <w:t>Arranz, L. I. (</w:t>
      </w:r>
      <w:proofErr w:type="gramStart"/>
      <w:r>
        <w:t>Abril</w:t>
      </w:r>
      <w:proofErr w:type="gramEnd"/>
      <w:r>
        <w:t xml:space="preserve"> de 2022). Bioeco actual. Obtenido de </w:t>
      </w:r>
      <w:r>
        <w:rPr>
          <w:sz w:val="22"/>
        </w:rPr>
        <w:t xml:space="preserve">https://www.bioecoactual.com/2022/04/24/pesticidas-y-estres-oxidativo/#:~:text=Pero%2C%20%C2%BFqu%C3%A9%20es%20el%20estr%C3%A9s,c%C3%A9lulas%20con%20sus%20defensas%20antioxidantes </w:t>
      </w:r>
    </w:p>
    <w:p w:rsidR="002B5EF8" w:rsidRDefault="00C66404">
      <w:pPr>
        <w:widowControl w:val="0"/>
      </w:pPr>
      <w:r>
        <w:t xml:space="preserve">Balderrama-Carmona, A. P., Valenzuela-Rincón, M., Zamora-Álvarez, L. A., Adan-Bante, N. P., Leyva-Soto, L. A., Silva-Beltrán, N. P., &amp; Morán-Palacio, E. F. (2020). Herbicide biomonitoring in agricultural workers in Valle del Mayo, Sonora Mexico. </w:t>
      </w:r>
      <w:r>
        <w:rPr>
          <w:i/>
        </w:rPr>
        <w:t>Environmental Science and Pollution Research</w:t>
      </w:r>
      <w:r>
        <w:t xml:space="preserve">, </w:t>
      </w:r>
      <w:r>
        <w:rPr>
          <w:i/>
        </w:rPr>
        <w:t>27</w:t>
      </w:r>
      <w:r>
        <w:t>(23), 28480–28489. https://doi.org/10.1007/s11356-019-07087-6</w:t>
      </w:r>
    </w:p>
    <w:p w:rsidR="002B5EF8" w:rsidRDefault="00C66404">
      <w:pPr>
        <w:widowControl w:val="0"/>
      </w:pPr>
      <w:r>
        <w:t xml:space="preserve">Barbasz, A., Kreczmer, B., Skórka, M., &amp; Czyżowska, A. (2020). Toxicity of pesticides toward human immune cells U-937 and HL-60. </w:t>
      </w:r>
      <w:r>
        <w:rPr>
          <w:i/>
        </w:rPr>
        <w:t>Journal of Environmental Science and Health - Part B Pesticides, Food Contaminants, and Agricultural Wastes</w:t>
      </w:r>
      <w:r>
        <w:t xml:space="preserve">, </w:t>
      </w:r>
      <w:r>
        <w:rPr>
          <w:i/>
        </w:rPr>
        <w:t>55</w:t>
      </w:r>
      <w:r>
        <w:t>(8), 719–725</w:t>
      </w:r>
      <w:r w:rsidRPr="001134ED">
        <w:t xml:space="preserve">. </w:t>
      </w:r>
      <w:hyperlink r:id="rId13" w:history="1">
        <w:r w:rsidR="001134ED" w:rsidRPr="001134ED">
          <w:rPr>
            <w:rStyle w:val="Hipervnculo"/>
            <w:color w:val="auto"/>
            <w:u w:val="none"/>
          </w:rPr>
          <w:t>https://doi.org/10.1080/03601234.2020.1777059</w:t>
        </w:r>
      </w:hyperlink>
    </w:p>
    <w:p w:rsidR="001134ED" w:rsidRDefault="001134ED">
      <w:pPr>
        <w:widowControl w:val="0"/>
      </w:pPr>
      <w:r w:rsidRPr="001134ED">
        <w:t>Barbosa, WM., Conti, CL., Simão, JBP., Álvares-da-Silva, AM. Pesticide exposure, tobacco use, poor self-perceived health and presence of chronic disease are determinants of depressive symptoms among coffee growers from Southeast Brazil. Psychiatry Res. 2018 Feb;260:187-192. doi: 10.1016/j.psychres.2017.11.063.</w:t>
      </w:r>
    </w:p>
    <w:p w:rsidR="00360CB3" w:rsidRPr="00360CB3" w:rsidRDefault="00360CB3" w:rsidP="00360CB3">
      <w:pPr>
        <w:widowControl w:val="0"/>
      </w:pPr>
      <w:r w:rsidRPr="00360CB3">
        <w:t xml:space="preserve">Barrett, ES., Lesseur, C., Pathak, KV., Pirrotte, P., Martinez, MN., Ferguson, KK., Nguyen, RHN., Sathyanarayana, S., Mandrioli, D., Swan, SH., Chen, J. Urinary glyphosate concentration in pregnant women in relation to length of gestation. Environ Res. 2022 </w:t>
      </w:r>
      <w:proofErr w:type="gramStart"/>
      <w:r w:rsidRPr="00360CB3">
        <w:t>Jan;203:111811</w:t>
      </w:r>
      <w:proofErr w:type="gramEnd"/>
      <w:r w:rsidRPr="00360CB3">
        <w:t xml:space="preserve">. doi: 10.1016/j.envres.2021.111811. </w:t>
      </w:r>
    </w:p>
    <w:p w:rsidR="00360CB3" w:rsidRDefault="00360CB3">
      <w:pPr>
        <w:widowControl w:val="0"/>
      </w:pPr>
    </w:p>
    <w:p w:rsidR="002B5EF8" w:rsidRDefault="00C66404">
      <w:pPr>
        <w:pBdr>
          <w:top w:val="nil"/>
          <w:left w:val="nil"/>
          <w:bottom w:val="nil"/>
          <w:right w:val="nil"/>
          <w:between w:val="nil"/>
        </w:pBdr>
        <w:rPr>
          <w:color w:val="000000"/>
          <w:szCs w:val="24"/>
        </w:rPr>
      </w:pPr>
      <w:r>
        <w:rPr>
          <w:color w:val="000000"/>
          <w:szCs w:val="24"/>
        </w:rPr>
        <w:lastRenderedPageBreak/>
        <w:t xml:space="preserve">Bupa. (2020). </w:t>
      </w:r>
      <w:r>
        <w:rPr>
          <w:i/>
          <w:color w:val="000000"/>
          <w:szCs w:val="24"/>
        </w:rPr>
        <w:t xml:space="preserve">Sistema </w:t>
      </w:r>
      <w:r w:rsidR="001134ED">
        <w:rPr>
          <w:i/>
          <w:color w:val="000000"/>
          <w:szCs w:val="24"/>
        </w:rPr>
        <w:t>cardiovascular.</w:t>
      </w:r>
      <w:r>
        <w:rPr>
          <w:color w:val="000000"/>
          <w:szCs w:val="24"/>
        </w:rPr>
        <w:t xml:space="preserve"> Obtenido de https://www.bupasalud.com.co/salud/sistema-cardiovascular</w:t>
      </w:r>
    </w:p>
    <w:p w:rsidR="002B5EF8" w:rsidRDefault="00C66404">
      <w:pPr>
        <w:pBdr>
          <w:top w:val="nil"/>
          <w:left w:val="nil"/>
          <w:bottom w:val="nil"/>
          <w:right w:val="nil"/>
          <w:between w:val="nil"/>
        </w:pBdr>
        <w:rPr>
          <w:color w:val="000000"/>
          <w:szCs w:val="24"/>
        </w:rPr>
      </w:pPr>
      <w:r>
        <w:rPr>
          <w:color w:val="000000"/>
          <w:szCs w:val="24"/>
        </w:rPr>
        <w:t xml:space="preserve">Cattelan, M. D., Maurer, P., Garcia, F., Berro, L. F., Machado, M. M., Manfredini, V., &amp; Piccoli, J. d. (2018). Occupational exposure to pesticides in family agriculture and the oxidative, biochemical and hematological profile in this agricultural model. </w:t>
      </w:r>
      <w:r>
        <w:rPr>
          <w:i/>
          <w:color w:val="000000"/>
          <w:szCs w:val="24"/>
        </w:rPr>
        <w:t>Life Sciences</w:t>
      </w:r>
      <w:r>
        <w:rPr>
          <w:color w:val="000000"/>
          <w:szCs w:val="24"/>
        </w:rPr>
        <w:t>.</w:t>
      </w:r>
    </w:p>
    <w:p w:rsidR="006533E2" w:rsidRDefault="006533E2">
      <w:pPr>
        <w:pBdr>
          <w:top w:val="nil"/>
          <w:left w:val="nil"/>
          <w:bottom w:val="nil"/>
          <w:right w:val="nil"/>
          <w:between w:val="nil"/>
        </w:pBdr>
        <w:rPr>
          <w:color w:val="000000"/>
          <w:szCs w:val="24"/>
        </w:rPr>
      </w:pPr>
      <w:r w:rsidRPr="006533E2">
        <w:rPr>
          <w:color w:val="000000"/>
          <w:szCs w:val="24"/>
        </w:rPr>
        <w:t xml:space="preserve">Caye, JL., Mattiazzi, ÂL., Frank, JG. Endruweit Battisti ID. Hearing screening and cholinesterase activity among rural workers exposed to pesticides. Rev Bras Med Trab. 2020 Feb 12;17(2):239-246. doi: 10.5327/Z1679443520190374. </w:t>
      </w:r>
    </w:p>
    <w:p w:rsidR="002B5EF8" w:rsidRDefault="00C66404">
      <w:pPr>
        <w:widowControl w:val="0"/>
      </w:pPr>
      <w:r>
        <w:t xml:space="preserve">Clinica </w:t>
      </w:r>
      <w:proofErr w:type="gramStart"/>
      <w:r>
        <w:t>Mayo</w:t>
      </w:r>
      <w:proofErr w:type="gramEnd"/>
      <w:r>
        <w:t xml:space="preserve">. (2022). Dificultad para respirar. Obtenido de </w:t>
      </w:r>
      <w:hyperlink r:id="rId14">
        <w:r>
          <w:rPr>
            <w:color w:val="000000"/>
          </w:rPr>
          <w:t>https://www.mayoclinic.org/es-es/symptoms/shortness-of-breath/basics/definition/sym-20050890?reDate=12082022</w:t>
        </w:r>
      </w:hyperlink>
    </w:p>
    <w:p w:rsidR="002B5EF8" w:rsidRDefault="00C66404">
      <w:pPr>
        <w:widowControl w:val="0"/>
      </w:pPr>
      <w:r>
        <w:t xml:space="preserve">Clinica </w:t>
      </w:r>
      <w:proofErr w:type="gramStart"/>
      <w:r>
        <w:t>Mayo .</w:t>
      </w:r>
      <w:proofErr w:type="gramEnd"/>
      <w:r>
        <w:t xml:space="preserve"> (2022). Diabetes. Obtenido de https://www.mayoclinic.org/diseases-conditions/diabetes/symptoms-causes/syc-20371444MedlinePlus. (2017). </w:t>
      </w:r>
      <w:r>
        <w:rPr>
          <w:i/>
        </w:rPr>
        <w:t>Neurosciences</w:t>
      </w:r>
      <w:r>
        <w:t xml:space="preserve">. </w:t>
      </w:r>
      <w:hyperlink r:id="rId15">
        <w:r>
          <w:rPr>
            <w:color w:val="000000"/>
          </w:rPr>
          <w:t>https://medlineplus.gov/ency/article/007456.htm</w:t>
        </w:r>
      </w:hyperlink>
    </w:p>
    <w:p w:rsidR="002B5EF8" w:rsidRDefault="00C66404">
      <w:pPr>
        <w:widowControl w:val="0"/>
      </w:pPr>
      <w:r>
        <w:t xml:space="preserve">Clínica Universidad de los Andes. (2020). </w:t>
      </w:r>
      <w:r>
        <w:rPr>
          <w:i/>
        </w:rPr>
        <w:t>Qué es el sistema inmunológico y cómo nos protege del Covid-19</w:t>
      </w:r>
      <w:r>
        <w:t>. https://www.clinicauandes.cl/noticia/que-es-el-sistema-inmunologico-y-como-nos-protege-del-covid-19</w:t>
      </w:r>
    </w:p>
    <w:p w:rsidR="002B5EF8" w:rsidRDefault="00C66404">
      <w:pPr>
        <w:widowControl w:val="0"/>
      </w:pPr>
      <w:r>
        <w:t>Díaz-Criollo, S., Palma, M., Monroy-García, A. A., Idrovo, A. J., Combariza, D., &amp; Varona-Uribe, M. E. (2020). Chronic pesticide mixture exposure including paraquat and respiratory outcomes among Colombian farmers. Industrial Health.</w:t>
      </w:r>
    </w:p>
    <w:p w:rsidR="00360CB3" w:rsidRPr="00360CB3" w:rsidRDefault="00360CB3">
      <w:pPr>
        <w:widowControl w:val="0"/>
        <w:rPr>
          <w:lang w:val="en-US"/>
        </w:rPr>
      </w:pPr>
      <w:r w:rsidRPr="00360CB3">
        <w:rPr>
          <w:lang w:val="en-US"/>
        </w:rPr>
        <w:t xml:space="preserve">Eaton, J. L., Cathey, A. L., Fernandez, J. A., Watkins, D. J., Silver, M. K., Milne, G. L., . . . Meeker, J. D. (2022). The association between urinary glyphosate and aminomethyl phosphonic acid with biomarkers of oxidative stress among pregnant women in the PROTECT birth cohort study. </w:t>
      </w:r>
      <w:r w:rsidRPr="00360CB3">
        <w:rPr>
          <w:i/>
          <w:iCs/>
          <w:lang w:val="en-US"/>
        </w:rPr>
        <w:t>Ecotoxicol Environ Saf</w:t>
      </w:r>
      <w:r w:rsidRPr="00360CB3">
        <w:rPr>
          <w:lang w:val="en-US"/>
        </w:rPr>
        <w:t>.</w:t>
      </w:r>
    </w:p>
    <w:p w:rsidR="00991A37" w:rsidRDefault="00991A37">
      <w:pPr>
        <w:widowControl w:val="0"/>
      </w:pPr>
      <w:r w:rsidRPr="00991A37">
        <w:t xml:space="preserve">Eriguchi, M., Iida, K., Ikeda, S., Osoegawa, M., Nishioka, K., Hattori, N., Nagayama, H., Hara, H. Parkinsonism Relating to Intoxication with Glyphosate. Intern Med. 2019 Jul 1;58(13):1935-1938. doi: 10.2169/internalmedicine.2028-18. </w:t>
      </w:r>
    </w:p>
    <w:p w:rsidR="00B27775" w:rsidRPr="00991A37" w:rsidRDefault="00B27775">
      <w:pPr>
        <w:widowControl w:val="0"/>
        <w:rPr>
          <w:lang w:val="en-US"/>
        </w:rPr>
      </w:pPr>
      <w:r w:rsidRPr="00B27775">
        <w:rPr>
          <w:lang w:val="en-US"/>
        </w:rPr>
        <w:t>Fernández, J., Silver, M., Tang, J., McDade, A., Sabino, J., Rosario, Z., Vélez, C., Alshawableh, A., Cordero, J., Meeker, J. (2021). Prenatal Exposure to Glyphosate and Its Environmental Degradate, Aminomethylphosphonic Acid (AMPA), and Preterm Birth: A Nested Case–Control Study in the PROTECT Cohort (Puerto Rico). (2021).</w:t>
      </w:r>
      <w:r w:rsidRPr="00B27775">
        <w:t xml:space="preserve"> </w:t>
      </w:r>
      <w:r w:rsidRPr="00B27775">
        <w:rPr>
          <w:i/>
        </w:rPr>
        <w:t>Environmental Health Perspectives</w:t>
      </w:r>
      <w:r w:rsidRPr="00B27775">
        <w:t xml:space="preserve">. </w:t>
      </w:r>
      <w:hyperlink r:id="rId16" w:history="1">
        <w:r w:rsidRPr="00B27775">
          <w:rPr>
            <w:rStyle w:val="Hipervnculo"/>
            <w:color w:val="auto"/>
            <w:u w:val="none"/>
          </w:rPr>
          <w:t>https://doi.org/10.1289/EHP7295</w:t>
        </w:r>
      </w:hyperlink>
    </w:p>
    <w:p w:rsidR="00590D00" w:rsidRPr="00590D00" w:rsidRDefault="00590D00">
      <w:pPr>
        <w:widowControl w:val="0"/>
        <w:rPr>
          <w:lang w:val="en-US"/>
        </w:rPr>
      </w:pPr>
      <w:r w:rsidRPr="00590D00">
        <w:t>Fortes, C., Mastroeni, S., Segatto, M M., Hohmann, C., Miligi, L., Bakos, L., Bonamigo, R. Occupational Exposure to Pesticides With Occupational Sun Exposure Increases the Risk for Cutaneous Melanoma. J Occup Environ Med. 2016 Apr;58(4):370-5. doi: 10.1097/JOM.0000000000000665.</w:t>
      </w:r>
    </w:p>
    <w:p w:rsidR="002B5EF8" w:rsidRDefault="00C66404">
      <w:pPr>
        <w:widowControl w:val="0"/>
      </w:pPr>
      <w:r>
        <w:t xml:space="preserve">Fuhrimann, S., van den Brenk, I., Atuhaire, A., Mubeezi, R., Staudacher, P., Huss, A., &amp; Kromhout, H. (2022). Recent pesticide exposure affects sleep: A cross-sectional study among smallholder farmers in Uganda. </w:t>
      </w:r>
      <w:r>
        <w:rPr>
          <w:i/>
        </w:rPr>
        <w:t>Environment International</w:t>
      </w:r>
      <w:r>
        <w:t xml:space="preserve">, </w:t>
      </w:r>
      <w:r>
        <w:rPr>
          <w:i/>
        </w:rPr>
        <w:t>158</w:t>
      </w:r>
      <w:r>
        <w:t xml:space="preserve">(September 2021), 106878. </w:t>
      </w:r>
      <w:hyperlink r:id="rId17" w:history="1">
        <w:r w:rsidR="00B27775" w:rsidRPr="00B27775">
          <w:rPr>
            <w:rStyle w:val="Hipervnculo"/>
            <w:color w:val="auto"/>
            <w:u w:val="none"/>
          </w:rPr>
          <w:t>https://doi.org/10.1016/j.envint.2021.106878</w:t>
        </w:r>
      </w:hyperlink>
    </w:p>
    <w:p w:rsidR="00B27775" w:rsidRPr="00B27775" w:rsidRDefault="00B27775">
      <w:pPr>
        <w:widowControl w:val="0"/>
        <w:rPr>
          <w:lang w:val="en-US"/>
        </w:rPr>
      </w:pPr>
      <w:r w:rsidRPr="00B27775">
        <w:rPr>
          <w:lang w:val="en-US"/>
        </w:rPr>
        <w:t xml:space="preserve">Fuhrimann, S., Farnham, A., Staudacher, P., Atuhaire, A., Manfioletti, T., Niwagaba, </w:t>
      </w:r>
      <w:r w:rsidRPr="00B27775">
        <w:rPr>
          <w:lang w:val="en-US"/>
        </w:rPr>
        <w:lastRenderedPageBreak/>
        <w:t xml:space="preserve">C. B., Namirembe, S., Mugweri, J., Winkler, M. S., Portengen, L., Kromhout, H., &amp; Mora, A. M. (2021). Exposure to multiple pesticides and neurobehavioral outcomes among smallholder farmers in Uganda. </w:t>
      </w:r>
      <w:r w:rsidRPr="00B27775">
        <w:rPr>
          <w:i/>
          <w:iCs/>
          <w:lang w:val="en-US"/>
        </w:rPr>
        <w:t>Environment International</w:t>
      </w:r>
      <w:r w:rsidRPr="00B27775">
        <w:rPr>
          <w:lang w:val="en-US"/>
        </w:rPr>
        <w:t xml:space="preserve">, </w:t>
      </w:r>
      <w:r w:rsidRPr="00B27775">
        <w:rPr>
          <w:i/>
          <w:iCs/>
          <w:lang w:val="en-US"/>
        </w:rPr>
        <w:t>152</w:t>
      </w:r>
      <w:r w:rsidRPr="00B27775">
        <w:rPr>
          <w:lang w:val="en-US"/>
        </w:rPr>
        <w:t>(October 2020), 106477. https://doi.org/10.1016/j.envint.2021.106477</w:t>
      </w:r>
    </w:p>
    <w:p w:rsidR="002B5EF8" w:rsidRDefault="00C66404">
      <w:pPr>
        <w:widowControl w:val="0"/>
      </w:pPr>
      <w:r>
        <w:t xml:space="preserve">Fundación Carlos Slim. (2019). </w:t>
      </w:r>
      <w:r>
        <w:rPr>
          <w:i/>
        </w:rPr>
        <w:t>Inmunotoxicidad, ¿qué es y cuáles son sus efectos?</w:t>
      </w:r>
      <w:r>
        <w:t xml:space="preserve"> https://www.clikisalud.net/inmunotoxicidad-que-es-y-cuales-son-sus-efectos/</w:t>
      </w:r>
    </w:p>
    <w:p w:rsidR="002B5EF8" w:rsidRDefault="00C66404">
      <w:pPr>
        <w:pBdr>
          <w:top w:val="nil"/>
          <w:left w:val="nil"/>
          <w:bottom w:val="nil"/>
          <w:right w:val="nil"/>
          <w:between w:val="nil"/>
        </w:pBdr>
        <w:rPr>
          <w:color w:val="000000"/>
          <w:szCs w:val="24"/>
        </w:rPr>
      </w:pPr>
      <w:r>
        <w:rPr>
          <w:color w:val="000000"/>
          <w:szCs w:val="24"/>
        </w:rPr>
        <w:t xml:space="preserve">Gillezeau, C., Lieberman-Cribbin, W., &amp; Taioli, E. (2020). Update on human exposure to glyphosate, with a complete review of exposure in children. </w:t>
      </w:r>
      <w:r>
        <w:rPr>
          <w:i/>
          <w:color w:val="000000"/>
          <w:szCs w:val="24"/>
        </w:rPr>
        <w:t>Environ Health</w:t>
      </w:r>
      <w:r>
        <w:rPr>
          <w:color w:val="000000"/>
          <w:szCs w:val="24"/>
        </w:rPr>
        <w:t>.</w:t>
      </w:r>
    </w:p>
    <w:p w:rsidR="002B5EF8" w:rsidRDefault="00C66404">
      <w:pPr>
        <w:widowControl w:val="0"/>
      </w:pPr>
      <w:r>
        <w:t xml:space="preserve">Gordon, C., &amp; Marrugo, J. (2018). Prácticas Agrícolas Y Riesgos a La Salud Agricultural Practices and Risks To Health From the Use of Pesticides in Agricultural. </w:t>
      </w:r>
      <w:r>
        <w:rPr>
          <w:i/>
        </w:rPr>
        <w:t>Revista de Investigación Agraria y Ambiental</w:t>
      </w:r>
      <w:r>
        <w:t xml:space="preserve">, </w:t>
      </w:r>
      <w:r>
        <w:rPr>
          <w:i/>
        </w:rPr>
        <w:t>9</w:t>
      </w:r>
      <w:r>
        <w:t>(1), 21–40.</w:t>
      </w:r>
    </w:p>
    <w:p w:rsidR="002B5EF8" w:rsidRDefault="00C66404">
      <w:pPr>
        <w:widowControl w:val="0"/>
        <w:rPr>
          <w:color w:val="000000"/>
        </w:rPr>
      </w:pPr>
      <w:r>
        <w:t xml:space="preserve">Gunatilake, S., Seneff, S., &amp; Orlando, L. (2019). Glyphosate’s synergistic toxicity in combination with other factors as a cause of chronic kidney disease of unknown origin. </w:t>
      </w:r>
      <w:r>
        <w:rPr>
          <w:i/>
        </w:rPr>
        <w:t>International Journal of Environmental Research and Public Health</w:t>
      </w:r>
      <w:r>
        <w:t xml:space="preserve">, </w:t>
      </w:r>
      <w:r>
        <w:rPr>
          <w:i/>
        </w:rPr>
        <w:t>16</w:t>
      </w:r>
      <w:r>
        <w:t xml:space="preserve">(15). </w:t>
      </w:r>
      <w:hyperlink r:id="rId18">
        <w:r>
          <w:rPr>
            <w:color w:val="000000"/>
          </w:rPr>
          <w:t>https://doi.org/10.3390/ijerph16152734</w:t>
        </w:r>
      </w:hyperlink>
    </w:p>
    <w:p w:rsidR="00991A37" w:rsidRDefault="00991A37">
      <w:pPr>
        <w:widowControl w:val="0"/>
      </w:pPr>
      <w:r w:rsidRPr="00991A37">
        <w:t xml:space="preserve">Hutter, HP., Moshammer, H., Khan, AW., Wallner, P., Poteser, M., Kundi, M. Validity of reported indicators of pesticide exposure and relevance for cytotoxic and genotoxic effects on buccal cells. Mutagenesis. 2019 May 29;34(2):147-152. doi: 10.1093/mutage/gey043. </w:t>
      </w:r>
    </w:p>
    <w:p w:rsidR="00A854EC" w:rsidRDefault="00A854EC">
      <w:pPr>
        <w:widowControl w:val="0"/>
      </w:pPr>
      <w:r w:rsidRPr="00A854EC">
        <w:rPr>
          <w:lang w:val="en-US"/>
        </w:rPr>
        <w:t xml:space="preserve">Hutter, HP., Poteser, M., Lemmerer, K., Wallner, P., Kundi, M., Moshammer, H., &amp; Weitensfelder, L. (2021). Health Symptoms Related to Pesticide Use in Farmers and Laborers of Ecological and Conventional Banana Plantations in Ecuador. </w:t>
      </w:r>
      <w:r w:rsidRPr="00A854EC">
        <w:rPr>
          <w:i/>
          <w:iCs/>
        </w:rPr>
        <w:t>Int J Environ Res Public Health</w:t>
      </w:r>
      <w:r w:rsidRPr="00A854EC">
        <w:t>.</w:t>
      </w:r>
    </w:p>
    <w:p w:rsidR="002B5EF8" w:rsidRDefault="00C66404">
      <w:pPr>
        <w:widowControl w:val="0"/>
      </w:pPr>
      <w:r>
        <w:t>Intayoung, U., Wunnapuk, K., Kohsuwan, K., Sapbamrer, R., &amp; Khacha-ananda, S. (2021). Effect of Occupational Exposure to Herbicides on Oxidative Stress in Sprayers. Safety and Health at Work, 127-132.</w:t>
      </w:r>
    </w:p>
    <w:p w:rsidR="00F46356" w:rsidRPr="00F46356" w:rsidRDefault="00F46356">
      <w:pPr>
        <w:widowControl w:val="0"/>
        <w:rPr>
          <w:lang w:val="en-US"/>
        </w:rPr>
      </w:pPr>
      <w:r w:rsidRPr="00F46356">
        <w:t>Intranuovo, G., Schiavulli, N., Cavone, D., Birtolo, F., Cocco, P., Vimercati, L., Macinagrossa, L., Giordano, A., Perrone, T., Ingravallo, G., Mazza, P., Strusi, M., Spinosa, C., Specchia, G., Ferri, GM. Assessment of DNA damages in lymphocytes of agricultural workers exposed to pesticides by comet assay in a cross-sectional study. Biomarkers. 2018 Jul;23(5):462-473. doi: 10.1080/1354750X.2018.1443513.</w:t>
      </w:r>
    </w:p>
    <w:p w:rsidR="002B5EF8" w:rsidRDefault="00C66404">
      <w:pPr>
        <w:widowControl w:val="0"/>
      </w:pPr>
      <w:r>
        <w:t xml:space="preserve">ISEE-LAC, &amp; OPS/OMS. (2021). </w:t>
      </w:r>
      <w:r>
        <w:rPr>
          <w:i/>
        </w:rPr>
        <w:t>Exposición ocupacional a plaguicidas y sus efectos en la salud de trabajadores agrícolas: estudios epidemiológicos en Chile y Brasil</w:t>
      </w:r>
      <w:r>
        <w:t>. 1. https://www.paho.org/es/eventos/exposicion-ocupacional-plaguicidas-sus-efectos-salud-trabajadores-agricolas-estudios</w:t>
      </w:r>
    </w:p>
    <w:p w:rsidR="002B5EF8" w:rsidRDefault="00C66404">
      <w:pPr>
        <w:widowControl w:val="0"/>
      </w:pPr>
      <w:r>
        <w:t xml:space="preserve">Jayasumana, C., Fonseka, S., Fernando, A., Jayalath, K., Amarasinghe, M., Siribaddana, S., Gunatilake, S., &amp; Paranagama, P. (2015). Phosphate fertilizer is a main source of arsenic in areas affected with chronic kidney disease of unknown etiology in Sri Lanka. </w:t>
      </w:r>
      <w:r>
        <w:rPr>
          <w:i/>
        </w:rPr>
        <w:t>SpringerPlus</w:t>
      </w:r>
      <w:r>
        <w:t xml:space="preserve">, </w:t>
      </w:r>
      <w:r>
        <w:rPr>
          <w:i/>
        </w:rPr>
        <w:t>4</w:t>
      </w:r>
      <w:r>
        <w:t>(1), 1–8. https://doi.org/10.1186/s40064-015-0868-z</w:t>
      </w:r>
    </w:p>
    <w:p w:rsidR="002B5EF8" w:rsidRDefault="00C66404">
      <w:pPr>
        <w:widowControl w:val="0"/>
      </w:pPr>
      <w:r>
        <w:t xml:space="preserve">Jayasumana, C., Paranagama, P., Agampodi, S., Wijewardane, C., &amp; Gunatilake, S. (2015). </w:t>
      </w:r>
      <w:r>
        <w:rPr>
          <w:i/>
        </w:rPr>
        <w:t>Drinking well water and occupational exposure to Herbicides is associated with chronic kidney disease, in Padavi-Sripura, Sri Lanka</w:t>
      </w:r>
      <w:r>
        <w:t>. 1–10.</w:t>
      </w:r>
    </w:p>
    <w:p w:rsidR="0093223A" w:rsidRPr="0093223A" w:rsidRDefault="0093223A">
      <w:pPr>
        <w:widowControl w:val="0"/>
        <w:rPr>
          <w:lang w:val="en-US"/>
        </w:rPr>
      </w:pPr>
      <w:r w:rsidRPr="0093223A">
        <w:lastRenderedPageBreak/>
        <w:t>Jayasumana, C., Gunatilake, S. &amp; Siribaddana, S. Simultaneous exposure to multiple heavy metals and glyphosate may contribute to Sri Lankan agricultural nephropathy. </w:t>
      </w:r>
      <w:r w:rsidRPr="0093223A">
        <w:rPr>
          <w:i/>
          <w:iCs/>
        </w:rPr>
        <w:t>BMC Nephrol</w:t>
      </w:r>
      <w:r w:rsidRPr="0093223A">
        <w:t> </w:t>
      </w:r>
      <w:r w:rsidRPr="0093223A">
        <w:rPr>
          <w:bCs/>
        </w:rPr>
        <w:t>16</w:t>
      </w:r>
      <w:r w:rsidRPr="0093223A">
        <w:t>, 103 (2015). https://doi.org/10.1186/s12882-015-0109-2</w:t>
      </w:r>
    </w:p>
    <w:p w:rsidR="002B5EF8" w:rsidRDefault="00C66404">
      <w:pPr>
        <w:widowControl w:val="0"/>
      </w:pPr>
      <w:r>
        <w:t xml:space="preserve">Kitchenham, B. (2004). Service function chaining across openstack and kubernetes domains. </w:t>
      </w:r>
      <w:r>
        <w:rPr>
          <w:i/>
        </w:rPr>
        <w:t>Procedures for Performing Systematic Reviews Barbara Kitchenham</w:t>
      </w:r>
      <w:r>
        <w:t>, 33. https://doi.org/10.1145/3328905.3332505</w:t>
      </w:r>
    </w:p>
    <w:p w:rsidR="002B5EF8" w:rsidRDefault="00C66404">
      <w:pPr>
        <w:widowControl w:val="0"/>
      </w:pPr>
      <w:r>
        <w:t xml:space="preserve">Kongtip, P., Nankongnab, N., Kallayanatham, N., Pundee, R., Choochouy, N., Yimsabai, J., &amp; Woskie, S. (2019). Thyroid hormones in conventional and organic farmers in Thailand. </w:t>
      </w:r>
      <w:r>
        <w:rPr>
          <w:i/>
        </w:rPr>
        <w:t>International Journal of Environmental Research and Public Health</w:t>
      </w:r>
      <w:r>
        <w:t xml:space="preserve">, </w:t>
      </w:r>
      <w:r>
        <w:rPr>
          <w:i/>
        </w:rPr>
        <w:t>16</w:t>
      </w:r>
      <w:r>
        <w:t>(15), 1–13. https://doi.org/10.3390/ijerph16152704</w:t>
      </w:r>
    </w:p>
    <w:p w:rsidR="002B5EF8" w:rsidRDefault="00C66404">
      <w:pPr>
        <w:widowControl w:val="0"/>
      </w:pPr>
      <w:r>
        <w:t xml:space="preserve">Kongtip, P., Nankongnab, N., Pundee, R., Kallayanatham, N., Pengpumkiat, S., Chungcharoen, J., Phommalachai, C., Konthonbut, P., Choochouy, N., Sowanthip, P., Khangkhun, P., Yimsabai, J., &amp; Woskie, S. (2021). Acute changes in thyroid hormone levels among Thai pesticide sprayers. </w:t>
      </w:r>
      <w:r>
        <w:rPr>
          <w:i/>
        </w:rPr>
        <w:t>Toxics</w:t>
      </w:r>
      <w:r>
        <w:t xml:space="preserve">, </w:t>
      </w:r>
      <w:r>
        <w:rPr>
          <w:i/>
        </w:rPr>
        <w:t>9</w:t>
      </w:r>
      <w:r>
        <w:t>(1), 1–16. https://doi.org/10.3390/toxics9010016</w:t>
      </w:r>
    </w:p>
    <w:p w:rsidR="002B5EF8" w:rsidRDefault="00C66404">
      <w:pPr>
        <w:pBdr>
          <w:top w:val="nil"/>
          <w:left w:val="nil"/>
          <w:bottom w:val="nil"/>
          <w:right w:val="nil"/>
          <w:between w:val="nil"/>
        </w:pBdr>
        <w:rPr>
          <w:color w:val="000000"/>
          <w:szCs w:val="24"/>
        </w:rPr>
      </w:pPr>
      <w:r>
        <w:rPr>
          <w:color w:val="000000"/>
          <w:szCs w:val="24"/>
        </w:rPr>
        <w:t xml:space="preserve">Leon, M. E., Schinasi, L. H., Lebailly, P., Freeman, L. E., Nordby, K.-C., Ferro, G., . . . Kriste, P. (2019). Pesticide use and risk of non-Hodgkin lymphoid malignancies in agricultural cohorts from France, Norway and the USA: a pooled analysis from the AGRICOH consortium. </w:t>
      </w:r>
      <w:r>
        <w:rPr>
          <w:i/>
          <w:color w:val="000000"/>
          <w:szCs w:val="24"/>
        </w:rPr>
        <w:t>International Journal of Epidemiology</w:t>
      </w:r>
      <w:r>
        <w:rPr>
          <w:color w:val="000000"/>
          <w:szCs w:val="24"/>
        </w:rPr>
        <w:t>.</w:t>
      </w:r>
    </w:p>
    <w:p w:rsidR="002B5EF8" w:rsidRDefault="00C66404">
      <w:pPr>
        <w:pBdr>
          <w:top w:val="nil"/>
          <w:left w:val="nil"/>
          <w:bottom w:val="nil"/>
          <w:right w:val="nil"/>
          <w:between w:val="nil"/>
        </w:pBdr>
        <w:rPr>
          <w:color w:val="000000"/>
          <w:szCs w:val="24"/>
        </w:rPr>
      </w:pPr>
      <w:r>
        <w:rPr>
          <w:color w:val="000000"/>
          <w:szCs w:val="24"/>
        </w:rPr>
        <w:t xml:space="preserve">Leyva-Soto, L., Balderrama-Carmona, A., Moran-Palacio, E., Diaz-Tenorio, L., &amp; Gortares-Moroyoqui, P. (2018). GLYPHOSATE AND AMINOMETHYLPHOSPHONIC ACID IN POPULATION OF AGRICULTURAL FIELDS: HEALTH RISK ASSESSMENT OVERVIEW. </w:t>
      </w:r>
      <w:r>
        <w:rPr>
          <w:i/>
          <w:color w:val="000000"/>
          <w:szCs w:val="24"/>
        </w:rPr>
        <w:t>Applied Ecology and Environmental Research</w:t>
      </w:r>
      <w:r>
        <w:rPr>
          <w:color w:val="000000"/>
          <w:szCs w:val="24"/>
        </w:rPr>
        <w:t>.</w:t>
      </w:r>
    </w:p>
    <w:p w:rsidR="002B5EF8" w:rsidRDefault="00C66404">
      <w:pPr>
        <w:widowControl w:val="0"/>
      </w:pPr>
      <w:r>
        <w:t xml:space="preserve">MedlinePlus. (2020b). </w:t>
      </w:r>
      <w:r>
        <w:rPr>
          <w:i/>
        </w:rPr>
        <w:t>Enfermedades endocrinas</w:t>
      </w:r>
      <w:r>
        <w:t>. https://www.niddk.nih.gov/health-information/informacion-de-la-salud/enfermedades-endocrinas</w:t>
      </w:r>
    </w:p>
    <w:p w:rsidR="002B5EF8" w:rsidRDefault="00C66404">
      <w:pPr>
        <w:widowControl w:val="0"/>
      </w:pPr>
      <w:r>
        <w:t xml:space="preserve">MedlinePlus. (2020c). </w:t>
      </w:r>
      <w:r>
        <w:rPr>
          <w:i/>
        </w:rPr>
        <w:t>Trastornos del sueño</w:t>
      </w:r>
      <w:r>
        <w:t>. https://medlineplus.gov/spanish/ency/article/000800.htm</w:t>
      </w:r>
    </w:p>
    <w:p w:rsidR="002B5EF8" w:rsidRDefault="00C66404">
      <w:pPr>
        <w:widowControl w:val="0"/>
      </w:pPr>
      <w:r>
        <w:t xml:space="preserve">MedlinePlus. (2021). </w:t>
      </w:r>
      <w:r>
        <w:rPr>
          <w:i/>
        </w:rPr>
        <w:t>Hormonas</w:t>
      </w:r>
      <w:r>
        <w:t>. https://medlineplus.gov/spanish/hormones.html</w:t>
      </w:r>
    </w:p>
    <w:p w:rsidR="002B5EF8" w:rsidRPr="0074723A" w:rsidRDefault="00C66404">
      <w:pPr>
        <w:pBdr>
          <w:top w:val="nil"/>
          <w:left w:val="nil"/>
          <w:bottom w:val="nil"/>
          <w:right w:val="nil"/>
          <w:between w:val="nil"/>
        </w:pBdr>
        <w:rPr>
          <w:szCs w:val="24"/>
        </w:rPr>
      </w:pPr>
      <w:r>
        <w:rPr>
          <w:color w:val="000000"/>
          <w:szCs w:val="24"/>
        </w:rPr>
        <w:t xml:space="preserve">MedlinePlus. (23 de febrero de 2022). </w:t>
      </w:r>
      <w:r>
        <w:rPr>
          <w:i/>
          <w:color w:val="000000"/>
          <w:szCs w:val="24"/>
        </w:rPr>
        <w:t>Hipertensión arterial - adultos</w:t>
      </w:r>
      <w:r>
        <w:rPr>
          <w:color w:val="000000"/>
          <w:szCs w:val="24"/>
        </w:rPr>
        <w:t xml:space="preserve">. Obtenido de </w:t>
      </w:r>
      <w:hyperlink r:id="rId19" w:history="1">
        <w:r w:rsidR="00360CB3" w:rsidRPr="0074723A">
          <w:rPr>
            <w:rStyle w:val="Hipervnculo"/>
            <w:color w:val="auto"/>
            <w:szCs w:val="24"/>
            <w:u w:val="none"/>
          </w:rPr>
          <w:t>https://medlineplus.gov/spanish/ency/article/000468.htm</w:t>
        </w:r>
      </w:hyperlink>
    </w:p>
    <w:p w:rsidR="00A854EC" w:rsidRPr="00A854EC" w:rsidRDefault="00A854EC">
      <w:pPr>
        <w:pBdr>
          <w:top w:val="nil"/>
          <w:left w:val="nil"/>
          <w:bottom w:val="nil"/>
          <w:right w:val="nil"/>
          <w:between w:val="nil"/>
        </w:pBdr>
        <w:rPr>
          <w:color w:val="000000"/>
          <w:szCs w:val="24"/>
          <w:lang w:val="es-ES"/>
        </w:rPr>
      </w:pPr>
      <w:r w:rsidRPr="00A854EC">
        <w:rPr>
          <w:color w:val="000000"/>
          <w:szCs w:val="24"/>
          <w:lang w:val="es-ES"/>
        </w:rPr>
        <w:t xml:space="preserve">Meloni, F., Satta, G., Padoan, M., Montagna, A., Pilia, I., Argiolas, A., . . . </w:t>
      </w:r>
      <w:r w:rsidRPr="00A854EC">
        <w:rPr>
          <w:color w:val="000000"/>
          <w:szCs w:val="24"/>
          <w:lang w:val="en-US"/>
        </w:rPr>
        <w:t xml:space="preserve">Cocco, P. (2021). Occupational exposure to glyphosate and risk of </w:t>
      </w:r>
      <w:proofErr w:type="gramStart"/>
      <w:r w:rsidRPr="00A854EC">
        <w:rPr>
          <w:color w:val="000000"/>
          <w:szCs w:val="24"/>
          <w:lang w:val="en-US"/>
        </w:rPr>
        <w:t>lymphoma:results</w:t>
      </w:r>
      <w:proofErr w:type="gramEnd"/>
      <w:r w:rsidRPr="00A854EC">
        <w:rPr>
          <w:color w:val="000000"/>
          <w:szCs w:val="24"/>
          <w:lang w:val="en-US"/>
        </w:rPr>
        <w:t xml:space="preserve"> of an Italian multicenter case-control study. </w:t>
      </w:r>
      <w:r w:rsidRPr="00A854EC">
        <w:rPr>
          <w:i/>
          <w:iCs/>
          <w:color w:val="000000"/>
          <w:szCs w:val="24"/>
          <w:lang w:val="es-ES"/>
        </w:rPr>
        <w:t>Environmental Health volume</w:t>
      </w:r>
      <w:r w:rsidRPr="00A854EC">
        <w:rPr>
          <w:color w:val="000000"/>
          <w:szCs w:val="24"/>
          <w:lang w:val="es-ES"/>
        </w:rPr>
        <w:t>. doi:https://doi.org/10.1186/s12940-021-00729-8</w:t>
      </w:r>
    </w:p>
    <w:p w:rsidR="002B5EF8" w:rsidRDefault="00C66404">
      <w:pPr>
        <w:pBdr>
          <w:top w:val="nil"/>
          <w:left w:val="nil"/>
          <w:bottom w:val="nil"/>
          <w:right w:val="nil"/>
          <w:between w:val="nil"/>
        </w:pBdr>
        <w:rPr>
          <w:color w:val="000000"/>
          <w:szCs w:val="24"/>
        </w:rPr>
      </w:pPr>
      <w:r>
        <w:rPr>
          <w:color w:val="000000"/>
          <w:szCs w:val="24"/>
        </w:rPr>
        <w:t xml:space="preserve">Molina Guzmán, L. P., &amp; Ríos Osorio, L. A. (2019). Occupational health and safety in agriculture. A systematic review. </w:t>
      </w:r>
      <w:r>
        <w:rPr>
          <w:i/>
          <w:color w:val="000000"/>
          <w:szCs w:val="24"/>
        </w:rPr>
        <w:t>Revista de la Facultad de Medicina, 68</w:t>
      </w:r>
      <w:r>
        <w:rPr>
          <w:color w:val="000000"/>
          <w:szCs w:val="24"/>
        </w:rPr>
        <w:t>(4), 625-38. doi:http://dx.doi.org/10.15446/</w:t>
      </w:r>
      <w:proofErr w:type="gramStart"/>
      <w:r>
        <w:rPr>
          <w:color w:val="000000"/>
          <w:szCs w:val="24"/>
        </w:rPr>
        <w:t>revfacmed.v</w:t>
      </w:r>
      <w:proofErr w:type="gramEnd"/>
      <w:r>
        <w:rPr>
          <w:color w:val="000000"/>
          <w:szCs w:val="24"/>
        </w:rPr>
        <w:t>68n4.76519</w:t>
      </w:r>
    </w:p>
    <w:p w:rsidR="002B5EF8" w:rsidRDefault="00C66404">
      <w:pPr>
        <w:widowControl w:val="0"/>
      </w:pPr>
      <w:r>
        <w:t xml:space="preserve">Mueangkhiao, P., Siviroj, P., Sapbamrer, R., Khacha-ananda, S., Lungkaphin, A., Seesen, M., Jaikwang, P., &amp; Wunnapuk, K. (2020). Biological variation in kidney injury and kidney function biomarkers among farmers in Lamphun province, Thailand. </w:t>
      </w:r>
      <w:r>
        <w:rPr>
          <w:i/>
        </w:rPr>
        <w:lastRenderedPageBreak/>
        <w:t>Environmental Science and Pollution Research</w:t>
      </w:r>
      <w:r>
        <w:t xml:space="preserve">, </w:t>
      </w:r>
      <w:r>
        <w:rPr>
          <w:i/>
        </w:rPr>
        <w:t>27</w:t>
      </w:r>
      <w:r>
        <w:t>(11), 12386–12394. https://doi.org/10.1007/s11356-020-07661-3</w:t>
      </w:r>
    </w:p>
    <w:p w:rsidR="002B5EF8" w:rsidRDefault="00C66404">
      <w:pPr>
        <w:widowControl w:val="0"/>
        <w:rPr>
          <w:color w:val="000000"/>
        </w:rPr>
      </w:pPr>
      <w:r>
        <w:t xml:space="preserve">Muñoz, F. R. (2021). </w:t>
      </w:r>
      <w:r>
        <w:rPr>
          <w:i/>
        </w:rPr>
        <w:t>El herbicida glifosato y sus alternativas</w:t>
      </w:r>
      <w:r>
        <w:t xml:space="preserve">. </w:t>
      </w:r>
      <w:hyperlink r:id="rId20">
        <w:r>
          <w:rPr>
            <w:color w:val="000000"/>
          </w:rPr>
          <w:t>www.ipen.org</w:t>
        </w:r>
      </w:hyperlink>
    </w:p>
    <w:p w:rsidR="006533E2" w:rsidRPr="006533E2" w:rsidRDefault="006533E2">
      <w:pPr>
        <w:widowControl w:val="0"/>
        <w:rPr>
          <w:color w:val="000000"/>
        </w:rPr>
      </w:pPr>
      <w:r w:rsidRPr="006533E2">
        <w:rPr>
          <w:color w:val="000000"/>
        </w:rPr>
        <w:t xml:space="preserve">Nankongnab, N., Kongtip, P., Kallayanatham, N., Pundee, R., Yimsabai, J., Woskie, S. Longitudinal Study of Thyroid Hormones between Conventional and Organic Farmers in Thailand. Toxics. 2020 Oct 5;8(4):82. doi: 10.3390/toxics8040082. </w:t>
      </w:r>
    </w:p>
    <w:p w:rsidR="002B5EF8" w:rsidRDefault="00C66404">
      <w:pPr>
        <w:widowControl w:val="0"/>
      </w:pPr>
      <w:r>
        <w:t xml:space="preserve">NIH. (2018). </w:t>
      </w:r>
      <w:r>
        <w:rPr>
          <w:i/>
        </w:rPr>
        <w:t>¿Qué es la insuficiencia renal?</w:t>
      </w:r>
      <w:r>
        <w:t xml:space="preserve"> https://www.niddk.nih.gov/health-information/informacion-de-la-salud/enfermedades-rinones/insuficiencia-renal/que-es</w:t>
      </w:r>
    </w:p>
    <w:p w:rsidR="002B5EF8" w:rsidRDefault="00C66404">
      <w:pPr>
        <w:widowControl w:val="0"/>
      </w:pPr>
      <w:r>
        <w:t xml:space="preserve">NIH. (2020). </w:t>
      </w:r>
      <w:r>
        <w:rPr>
          <w:i/>
        </w:rPr>
        <w:t>Definition of renal failure</w:t>
      </w:r>
      <w:r>
        <w:t>. https://www.cancer.gov/espanol/publicaciones/diccionarios/diccionario-cancer/def/insuficiencia-renal</w:t>
      </w:r>
    </w:p>
    <w:p w:rsidR="002B5EF8" w:rsidRDefault="00C66404">
      <w:pPr>
        <w:widowControl w:val="0"/>
      </w:pPr>
      <w:r>
        <w:t xml:space="preserve">NIH (Instituto Nacional de Cancer). (2021). </w:t>
      </w:r>
      <w:r>
        <w:rPr>
          <w:i/>
        </w:rPr>
        <w:t>Nefrotóxico</w:t>
      </w:r>
      <w:r>
        <w:t xml:space="preserve">. </w:t>
      </w:r>
      <w:hyperlink r:id="rId21">
        <w:r>
          <w:rPr>
            <w:color w:val="000000"/>
          </w:rPr>
          <w:t>https://www.cancer.gov/espanol/publicaciones/diccionarios/diccionario-cancer/def/nefrotoxico</w:t>
        </w:r>
      </w:hyperlink>
    </w:p>
    <w:p w:rsidR="002B5EF8" w:rsidRDefault="00C66404">
      <w:pPr>
        <w:widowControl w:val="0"/>
      </w:pPr>
      <w:r>
        <w:t xml:space="preserve">Otero, A. (2019). El mercado laboral rural en Colombia, 2010-2019. </w:t>
      </w:r>
      <w:r>
        <w:rPr>
          <w:i/>
        </w:rPr>
        <w:t>Africa’s Potentialfor the Ecological Intensification of Agriculture</w:t>
      </w:r>
      <w:r>
        <w:t>, 33.</w:t>
      </w:r>
    </w:p>
    <w:p w:rsidR="002B5EF8" w:rsidRDefault="00C66404">
      <w:pPr>
        <w:widowControl w:val="0"/>
      </w:pPr>
      <w:r>
        <w:t xml:space="preserve">OIT. (2011). </w:t>
      </w:r>
      <w:r>
        <w:rPr>
          <w:i/>
        </w:rPr>
        <w:t>Seguridad y Salud en la Agricultura</w:t>
      </w:r>
      <w:r>
        <w:t>.</w:t>
      </w:r>
    </w:p>
    <w:p w:rsidR="002B5EF8" w:rsidRDefault="00C66404">
      <w:pPr>
        <w:widowControl w:val="0"/>
      </w:pPr>
      <w:r>
        <w:t xml:space="preserve">OIT. (2000). </w:t>
      </w:r>
      <w:r>
        <w:rPr>
          <w:i/>
        </w:rPr>
        <w:t>Seguridad y Salud en la Agricultura</w:t>
      </w:r>
      <w:r>
        <w:t xml:space="preserve">. 7. https://www.ilo.org/wcmsp5/groups/public/---ed_protect/---protrav/---safework/documents/publication/wcms_117460.pdf </w:t>
      </w:r>
    </w:p>
    <w:p w:rsidR="002B5EF8" w:rsidRDefault="00C66404">
      <w:pPr>
        <w:pBdr>
          <w:top w:val="nil"/>
          <w:left w:val="nil"/>
          <w:bottom w:val="nil"/>
          <w:right w:val="nil"/>
          <w:between w:val="nil"/>
        </w:pBdr>
        <w:rPr>
          <w:color w:val="000000"/>
          <w:szCs w:val="24"/>
        </w:rPr>
      </w:pPr>
      <w:r>
        <w:rPr>
          <w:color w:val="000000"/>
          <w:szCs w:val="24"/>
        </w:rPr>
        <w:t xml:space="preserve">Pahwa, M., Freeman, L. E., Spinel, J. J., Blair, A., McLaughlin, J. R., Zahm, S. H., . . . Harris, S. A. (2019). Glyphosate use and associations with non-Hodgkin lymphoma major histological sub-types: findings from the North American Pooled Project. </w:t>
      </w:r>
      <w:r>
        <w:rPr>
          <w:i/>
          <w:color w:val="000000"/>
          <w:szCs w:val="24"/>
        </w:rPr>
        <w:t>Scand J Work Environ Health</w:t>
      </w:r>
      <w:r>
        <w:rPr>
          <w:color w:val="000000"/>
          <w:szCs w:val="24"/>
        </w:rPr>
        <w:t>.</w:t>
      </w:r>
    </w:p>
    <w:p w:rsidR="00991A37" w:rsidRPr="00991A37" w:rsidRDefault="00991A37">
      <w:pPr>
        <w:pBdr>
          <w:top w:val="nil"/>
          <w:left w:val="nil"/>
          <w:bottom w:val="nil"/>
          <w:right w:val="nil"/>
          <w:between w:val="nil"/>
        </w:pBdr>
        <w:rPr>
          <w:color w:val="000000"/>
          <w:szCs w:val="24"/>
          <w:lang w:val="en-US"/>
        </w:rPr>
      </w:pPr>
      <w:r w:rsidRPr="00991A37">
        <w:rPr>
          <w:color w:val="000000"/>
          <w:szCs w:val="24"/>
          <w:lang w:val="en-US"/>
        </w:rPr>
        <w:t xml:space="preserve">Perry, M. J., Mandrioli, D., Belpoggi, F., Manservisi, F., Panzacchi, S., &amp; Irwin, C. (2019). Historical evidence of glyphosate exposure from a US agricultural cohort. </w:t>
      </w:r>
      <w:r w:rsidRPr="00991A37">
        <w:rPr>
          <w:i/>
          <w:iCs/>
          <w:color w:val="000000"/>
          <w:szCs w:val="24"/>
          <w:lang w:val="en-US"/>
        </w:rPr>
        <w:t>Environmental Health: A Global Access Science Source</w:t>
      </w:r>
      <w:r w:rsidRPr="00991A37">
        <w:rPr>
          <w:color w:val="000000"/>
          <w:szCs w:val="24"/>
          <w:lang w:val="en-US"/>
        </w:rPr>
        <w:t xml:space="preserve">, </w:t>
      </w:r>
      <w:r w:rsidRPr="00991A37">
        <w:rPr>
          <w:i/>
          <w:iCs/>
          <w:color w:val="000000"/>
          <w:szCs w:val="24"/>
          <w:lang w:val="en-US"/>
        </w:rPr>
        <w:t>18</w:t>
      </w:r>
      <w:r w:rsidRPr="00991A37">
        <w:rPr>
          <w:color w:val="000000"/>
          <w:szCs w:val="24"/>
          <w:lang w:val="en-US"/>
        </w:rPr>
        <w:t>(1), 1–4. https://doi.org/10.1186/s12940-019-0474-6</w:t>
      </w:r>
    </w:p>
    <w:p w:rsidR="002B5EF8" w:rsidRDefault="00C66404">
      <w:pPr>
        <w:widowControl w:val="0"/>
      </w:pPr>
      <w:r>
        <w:t xml:space="preserve">Prudente, I. R. G., Souza, B. R. S., Nascimento, L. de C., Gonçalves, V. S. dos S., Silva, D. S. da, Rabelo, T. K., Alves, O., Santos, A. C., de Rezende Neto, J. M., Tavares, D. D. S., Santos, M. B., Barreto, A. S., Pereira, F. A., Kaiser, C. C., &amp; Guimarães, A. G. (2021). Nephrotoxic Effects Caused by Occupational Exposure to Agrochemicals in a Region of Northeastern Brazil: A Cross-Sectional Study. </w:t>
      </w:r>
      <w:r>
        <w:rPr>
          <w:i/>
        </w:rPr>
        <w:t>Environmental Toxicology and Chemistry</w:t>
      </w:r>
      <w:r>
        <w:t xml:space="preserve">, </w:t>
      </w:r>
      <w:r>
        <w:rPr>
          <w:i/>
        </w:rPr>
        <w:t>40</w:t>
      </w:r>
      <w:r>
        <w:t xml:space="preserve">(4), 1132–1138. https://doi.org/10.1002/etc.4962 </w:t>
      </w:r>
    </w:p>
    <w:p w:rsidR="002B5EF8" w:rsidRDefault="00C66404">
      <w:pPr>
        <w:widowControl w:val="0"/>
      </w:pPr>
      <w:r>
        <w:t xml:space="preserve">Reiriz Palacios, J. (2009). Endocrinología: generalidades del sistema. </w:t>
      </w:r>
      <w:r>
        <w:rPr>
          <w:i/>
        </w:rPr>
        <w:t>Universidad de Barcelona</w:t>
      </w:r>
      <w:r>
        <w:t>, 1–46.</w:t>
      </w:r>
    </w:p>
    <w:p w:rsidR="002B5EF8" w:rsidRDefault="00C66404">
      <w:pPr>
        <w:widowControl w:val="0"/>
      </w:pPr>
      <w:r>
        <w:t xml:space="preserve">Salamanca-gómez, F. (2004). </w:t>
      </w:r>
      <w:r>
        <w:rPr>
          <w:i/>
        </w:rPr>
        <w:t>Los genes y la enfermedad de Parkinson</w:t>
      </w:r>
      <w:r>
        <w:t xml:space="preserve">. </w:t>
      </w:r>
      <w:r>
        <w:rPr>
          <w:i/>
        </w:rPr>
        <w:t>140</w:t>
      </w:r>
      <w:r>
        <w:t>, 475–476.</w:t>
      </w:r>
    </w:p>
    <w:p w:rsidR="006533E2" w:rsidRPr="006533E2" w:rsidRDefault="006533E2">
      <w:pPr>
        <w:widowControl w:val="0"/>
        <w:rPr>
          <w:lang w:val="en-US"/>
        </w:rPr>
      </w:pPr>
      <w:r w:rsidRPr="006533E2">
        <w:t>Salazar-Flores, J., Pacheco-Moisés, F.P., Ortiz, G.G. </w:t>
      </w:r>
      <w:r w:rsidRPr="006533E2">
        <w:rPr>
          <w:i/>
          <w:iCs/>
        </w:rPr>
        <w:t>et al.</w:t>
      </w:r>
      <w:r w:rsidRPr="006533E2">
        <w:t xml:space="preserve"> Occupational exposure to organophosphorus and carbamates in farmers in La Cienega, Jalisco, Mexico: </w:t>
      </w:r>
      <w:r w:rsidRPr="006533E2">
        <w:lastRenderedPageBreak/>
        <w:t>oxidative stress and membrane fluidity markers. </w:t>
      </w:r>
      <w:r w:rsidRPr="006533E2">
        <w:rPr>
          <w:i/>
          <w:iCs/>
        </w:rPr>
        <w:t>J Occup Med Toxicol</w:t>
      </w:r>
      <w:r w:rsidRPr="006533E2">
        <w:t> </w:t>
      </w:r>
      <w:r w:rsidRPr="006533E2">
        <w:rPr>
          <w:b/>
          <w:bCs/>
        </w:rPr>
        <w:t>15</w:t>
      </w:r>
      <w:r w:rsidRPr="006533E2">
        <w:t>, 32 (2020). https://doi.org/10.1186/s12995-020-00283-y</w:t>
      </w:r>
    </w:p>
    <w:p w:rsidR="00991A37" w:rsidRPr="00991A37" w:rsidRDefault="00991A37">
      <w:pPr>
        <w:widowControl w:val="0"/>
        <w:rPr>
          <w:lang w:val="en-US"/>
        </w:rPr>
      </w:pPr>
      <w:r w:rsidRPr="00991A37">
        <w:rPr>
          <w:lang w:val="en-US"/>
        </w:rPr>
        <w:t xml:space="preserve">Santos, R., Piccoli, C., Cremonese, C., &amp; Freire, C. (2019). Thyroid and reproductive hormones in relation to pesticide use in an agricultural population in Southern Brazil. </w:t>
      </w:r>
      <w:r w:rsidRPr="00991A37">
        <w:rPr>
          <w:i/>
          <w:iCs/>
          <w:lang w:val="en-US"/>
        </w:rPr>
        <w:t>Environmental Research</w:t>
      </w:r>
      <w:r w:rsidRPr="00991A37">
        <w:rPr>
          <w:lang w:val="en-US"/>
        </w:rPr>
        <w:t xml:space="preserve">, </w:t>
      </w:r>
      <w:r w:rsidRPr="00991A37">
        <w:rPr>
          <w:i/>
          <w:iCs/>
          <w:lang w:val="en-US"/>
        </w:rPr>
        <w:t>173</w:t>
      </w:r>
      <w:r w:rsidRPr="00991A37">
        <w:rPr>
          <w:lang w:val="en-US"/>
        </w:rPr>
        <w:t>(January), 221–231. https://doi.org/10.1016/j.envres.2019.03.050</w:t>
      </w:r>
    </w:p>
    <w:p w:rsidR="002B5EF8" w:rsidRDefault="00C66404">
      <w:pPr>
        <w:widowControl w:val="0"/>
      </w:pPr>
      <w:r>
        <w:t xml:space="preserve">Schaeffer, J. W., Adgate, J. L., Reynolds, S. J., Butler-Dawson, J., Krisher, L., Dally, M., Johnson, R. J., James, K. A., Jaramillo, D., &amp; Newman, L. S. (2020). A pilot study to assess inhalation exposures among sugarcane workers in guatemala: Implications for chronic kidney disease of unknown origin. </w:t>
      </w:r>
      <w:r>
        <w:rPr>
          <w:i/>
        </w:rPr>
        <w:t>International Journal of Environmental Research and Public Health</w:t>
      </w:r>
      <w:r>
        <w:t xml:space="preserve">, </w:t>
      </w:r>
      <w:r>
        <w:rPr>
          <w:i/>
        </w:rPr>
        <w:t>17</w:t>
      </w:r>
      <w:r>
        <w:t xml:space="preserve">(16), 1–15. https://doi.org/10.3390/ijerph17165708 </w:t>
      </w:r>
    </w:p>
    <w:p w:rsidR="00590D00" w:rsidRPr="00590D00" w:rsidRDefault="00590D00">
      <w:pPr>
        <w:widowControl w:val="0"/>
        <w:rPr>
          <w:lang w:val="en-US"/>
        </w:rPr>
      </w:pPr>
      <w:r w:rsidRPr="00590D00">
        <w:rPr>
          <w:lang w:val="en-US"/>
        </w:rPr>
        <w:t xml:space="preserve">Stella Koutros, D. T., Heltshe, S., Lynch, C. F., Sandler, D. P., Blair, A., &amp; Freeman, L. E. (2016). Occupational exposure to pesticides and bladder cancer risk. </w:t>
      </w:r>
      <w:r w:rsidRPr="00590D00">
        <w:rPr>
          <w:i/>
          <w:iCs/>
          <w:lang w:val="en-US"/>
        </w:rPr>
        <w:t>International Journal of epidemiology</w:t>
      </w:r>
      <w:r w:rsidRPr="00590D00">
        <w:rPr>
          <w:lang w:val="en-US"/>
        </w:rPr>
        <w:t>.</w:t>
      </w:r>
    </w:p>
    <w:p w:rsidR="002B5EF8" w:rsidRDefault="00C66404">
      <w:pPr>
        <w:widowControl w:val="0"/>
      </w:pPr>
      <w:r>
        <w:t xml:space="preserve">Seneff, S., Swanson, N., &amp; Li, C. (2015). Aluminum and Glyphosate Can Synergistically Induce Pineal Gland Pathology: Connection to Gut Dysbiosis and Neurological Disease. </w:t>
      </w:r>
      <w:r>
        <w:rPr>
          <w:i/>
        </w:rPr>
        <w:t>Agricultural Sciences</w:t>
      </w:r>
      <w:r>
        <w:t xml:space="preserve">, </w:t>
      </w:r>
      <w:r>
        <w:rPr>
          <w:i/>
        </w:rPr>
        <w:t>06</w:t>
      </w:r>
      <w:r>
        <w:t xml:space="preserve">(01), 42–70. </w:t>
      </w:r>
      <w:hyperlink r:id="rId22" w:history="1">
        <w:r w:rsidR="00260801" w:rsidRPr="00260801">
          <w:rPr>
            <w:rStyle w:val="Hipervnculo"/>
            <w:color w:val="auto"/>
            <w:u w:val="none"/>
          </w:rPr>
          <w:t>https://doi.org/10.4236/as.2015.61005</w:t>
        </w:r>
      </w:hyperlink>
    </w:p>
    <w:p w:rsidR="00260801" w:rsidRDefault="00260801">
      <w:pPr>
        <w:widowControl w:val="0"/>
      </w:pPr>
      <w:r w:rsidRPr="00260801">
        <w:t xml:space="preserve">Seneff, S. &amp; Orlando, L. (2018). Is Glyphosate a Key Factor in Mesoamerican </w:t>
      </w:r>
      <w:proofErr w:type="gramStart"/>
      <w:r w:rsidRPr="00260801">
        <w:t>Nephropathy?.</w:t>
      </w:r>
      <w:proofErr w:type="gramEnd"/>
      <w:r w:rsidRPr="00260801">
        <w:t xml:space="preserve"> Journal of Environmental &amp; Analytical Toxicology. 8. 10.4172/2161-0525.1000542.</w:t>
      </w:r>
      <w:bookmarkStart w:id="5" w:name="_GoBack"/>
      <w:bookmarkEnd w:id="5"/>
    </w:p>
    <w:p w:rsidR="002B5EF8" w:rsidRDefault="00C66404">
      <w:pPr>
        <w:widowControl w:val="0"/>
      </w:pPr>
      <w:r>
        <w:t xml:space="preserve">Serrano, M. (1995). Nefrotoxicidad. Agentes y Sustancias Nefrotóxicas. </w:t>
      </w:r>
      <w:r>
        <w:rPr>
          <w:i/>
        </w:rPr>
        <w:t>Nefrotoxicidad En Pigmentos</w:t>
      </w:r>
      <w:r>
        <w:t xml:space="preserve">, </w:t>
      </w:r>
      <w:r>
        <w:rPr>
          <w:i/>
        </w:rPr>
        <w:t>2 edición</w:t>
      </w:r>
      <w:r>
        <w:t xml:space="preserve">, 27–38. </w:t>
      </w:r>
    </w:p>
    <w:p w:rsidR="00590D00" w:rsidRDefault="00590D00">
      <w:pPr>
        <w:widowControl w:val="0"/>
      </w:pPr>
      <w:r w:rsidRPr="00590D00">
        <w:rPr>
          <w:rFonts w:hint="eastAsia"/>
        </w:rPr>
        <w:t>Song In-geol, Cha Seung-yong, Kang Mun-gu, Kim Yong-hwan, Lee Jun-ho, Jo Kwang-won, Hwang Seong-yeon y Lee Dong-woo. (2017). Prognosis of Acute Pancreatitis in Glyphosate Surfactant Herbicide-intoxicated Patients. Revista de la Sociedad Coreana de Medicina de Emergencia, 28(5), 467-474.</w:t>
      </w:r>
    </w:p>
    <w:p w:rsidR="002B5EF8" w:rsidRDefault="00C66404">
      <w:pPr>
        <w:widowControl w:val="0"/>
      </w:pPr>
      <w:r>
        <w:t xml:space="preserve">Shrestha, S., Parks, C. G., Goldner, W. S., Kamel, F., Umbach, D. M., Ward, M. H., Lerro, C. C., Koutros, S., Hofmann, J. N., Beane Freeman, L. E., &amp; Sandler, D. P. (2018). Pesticide use and incident hypothyroidism in pesticide applicators in the agricultural health study. </w:t>
      </w:r>
      <w:r>
        <w:rPr>
          <w:i/>
        </w:rPr>
        <w:t>Environmental Health Perspectives</w:t>
      </w:r>
      <w:r>
        <w:t xml:space="preserve">, </w:t>
      </w:r>
      <w:r>
        <w:rPr>
          <w:i/>
        </w:rPr>
        <w:t>126</w:t>
      </w:r>
      <w:r>
        <w:t>(9), 1–11. https://doi.org/10.1289/EHP3194</w:t>
      </w:r>
    </w:p>
    <w:p w:rsidR="002B5EF8" w:rsidRDefault="00C66404">
      <w:pPr>
        <w:widowControl w:val="0"/>
        <w:rPr>
          <w:color w:val="000000"/>
        </w:rPr>
      </w:pPr>
      <w:r>
        <w:t xml:space="preserve">Shrestha, S., Parks, C. G., Umbach, D. M., Richards-Barber, M., Hofmann, J. N., Chen, H., Blair, A., Beane Freeman, L. E., &amp; Sandler, D. P. (2020). Pesticide use and incident Parkinson’s disease in a cohort of farmers and their spouses. </w:t>
      </w:r>
      <w:r>
        <w:rPr>
          <w:i/>
        </w:rPr>
        <w:t>Environmental Research</w:t>
      </w:r>
      <w:r>
        <w:t xml:space="preserve">, </w:t>
      </w:r>
      <w:r>
        <w:rPr>
          <w:i/>
        </w:rPr>
        <w:t>191</w:t>
      </w:r>
      <w:r>
        <w:t xml:space="preserve">(August), 110186. </w:t>
      </w:r>
      <w:hyperlink r:id="rId23">
        <w:r>
          <w:rPr>
            <w:color w:val="000000"/>
          </w:rPr>
          <w:t>https://doi.org/10.1016/j.envres.2020.110186</w:t>
        </w:r>
      </w:hyperlink>
    </w:p>
    <w:p w:rsidR="00590D00" w:rsidRPr="00590D00" w:rsidRDefault="00590D00">
      <w:pPr>
        <w:widowControl w:val="0"/>
        <w:rPr>
          <w:color w:val="000000"/>
          <w:lang w:val="en-US"/>
        </w:rPr>
      </w:pPr>
      <w:r w:rsidRPr="00590D00">
        <w:rPr>
          <w:color w:val="000000"/>
        </w:rPr>
        <w:t>Tereza Raquel R. Sena, Angelo Roberto Antoniolli (2017) Hearing Loss Induced for Pesticides in a Rural Worker: A Case Report. </w:t>
      </w:r>
      <w:r w:rsidRPr="00590D00">
        <w:rPr>
          <w:i/>
          <w:iCs/>
          <w:color w:val="000000"/>
        </w:rPr>
        <w:t>Journal of Otolaryngology Advances</w:t>
      </w:r>
      <w:r w:rsidRPr="00590D00">
        <w:rPr>
          <w:color w:val="000000"/>
        </w:rPr>
        <w:t> - 2(1):12-16.</w:t>
      </w:r>
    </w:p>
    <w:p w:rsidR="002B5EF8" w:rsidRDefault="00C66404">
      <w:pPr>
        <w:widowControl w:val="0"/>
      </w:pPr>
      <w:r>
        <w:t xml:space="preserve">Tranfield, D., Denyer, D. and Smart, P. (2003), Towards a Methodology for Developing Evidence-Informed Management Knowledge by Means of Systematic Review. </w:t>
      </w:r>
      <w:r>
        <w:rPr>
          <w:i/>
        </w:rPr>
        <w:t>British Journal of Management</w:t>
      </w:r>
      <w:r>
        <w:t>, 14: 207-222. </w:t>
      </w:r>
      <w:hyperlink r:id="rId24">
        <w:r>
          <w:rPr>
            <w:color w:val="000000"/>
          </w:rPr>
          <w:t>https://doi.org/10.1111/1467-8551.00375</w:t>
        </w:r>
      </w:hyperlink>
    </w:p>
    <w:p w:rsidR="002B5EF8" w:rsidRDefault="00C66404">
      <w:pPr>
        <w:widowControl w:val="0"/>
      </w:pPr>
      <w:r>
        <w:lastRenderedPageBreak/>
        <w:t xml:space="preserve">Valbuena, D., Cely-Santos, M., &amp; Obregón, D. (2021). Agrochemical pesticide production, trade, and hazard: Narrowing the information gap in Colombia. </w:t>
      </w:r>
      <w:r>
        <w:rPr>
          <w:i/>
        </w:rPr>
        <w:t>Journal of Environmental Management</w:t>
      </w:r>
      <w:r>
        <w:t xml:space="preserve">, </w:t>
      </w:r>
      <w:r>
        <w:rPr>
          <w:i/>
        </w:rPr>
        <w:t>286</w:t>
      </w:r>
      <w:r>
        <w:t xml:space="preserve">(September 2020). https://doi.org/10.1016/j.jenvman.2021.112141 </w:t>
      </w:r>
    </w:p>
    <w:p w:rsidR="00590D00" w:rsidRPr="00590D00" w:rsidRDefault="00590D00">
      <w:pPr>
        <w:widowControl w:val="0"/>
        <w:rPr>
          <w:lang w:val="en-US"/>
        </w:rPr>
      </w:pPr>
      <w:r w:rsidRPr="00590D00">
        <w:rPr>
          <w:lang w:val="en-US"/>
        </w:rPr>
        <w:t xml:space="preserve">Vandenberg, L. N., Blumberg, B., Antoniou, M. N., Benbrook, C. M., Carroll, L., Colborn, T., Everett, L. G., Hansen, M., Landrigan, P. J., Lanphear, B. P., Mesnage, R., vom Saal, F. S., Welshons, W. V., &amp; Myers, J. P. (2017). Is it time to reassess current safety standards for glyphosate-based herbicides? </w:t>
      </w:r>
      <w:r w:rsidRPr="00590D00">
        <w:rPr>
          <w:i/>
          <w:iCs/>
          <w:lang w:val="en-US"/>
        </w:rPr>
        <w:t>Journal of Epidemiology and Community Health</w:t>
      </w:r>
      <w:r w:rsidRPr="00590D00">
        <w:rPr>
          <w:lang w:val="en-US"/>
        </w:rPr>
        <w:t xml:space="preserve">, </w:t>
      </w:r>
      <w:r w:rsidRPr="00590D00">
        <w:rPr>
          <w:i/>
          <w:iCs/>
          <w:lang w:val="en-US"/>
        </w:rPr>
        <w:t>71</w:t>
      </w:r>
      <w:r w:rsidRPr="00590D00">
        <w:rPr>
          <w:lang w:val="en-US"/>
        </w:rPr>
        <w:t>(6), 613–618. https://doi.org/10.1136/jech-2016-208463</w:t>
      </w:r>
    </w:p>
    <w:p w:rsidR="002B5EF8" w:rsidRDefault="00C66404">
      <w:pPr>
        <w:widowControl w:val="0"/>
      </w:pPr>
      <w:r>
        <w:t xml:space="preserve">Vasconcelos, D. (1990). Enfermedad de Alzheimer. </w:t>
      </w:r>
      <w:r>
        <w:rPr>
          <w:i/>
        </w:rPr>
        <w:t>Gaceta Medica de Mexico</w:t>
      </w:r>
      <w:r>
        <w:t xml:space="preserve">, </w:t>
      </w:r>
      <w:r>
        <w:rPr>
          <w:i/>
        </w:rPr>
        <w:t>126</w:t>
      </w:r>
      <w:r>
        <w:t>(6), 523–525. https://doi.org/10.1016/s1636-5410(01)70148-1</w:t>
      </w:r>
    </w:p>
    <w:p w:rsidR="002B5EF8" w:rsidRDefault="00C66404">
      <w:pPr>
        <w:pBdr>
          <w:top w:val="nil"/>
          <w:left w:val="nil"/>
          <w:bottom w:val="nil"/>
          <w:right w:val="nil"/>
          <w:between w:val="nil"/>
        </w:pBdr>
        <w:rPr>
          <w:color w:val="000000"/>
          <w:szCs w:val="24"/>
        </w:rPr>
      </w:pPr>
      <w:r>
        <w:rPr>
          <w:color w:val="000000"/>
          <w:szCs w:val="24"/>
        </w:rPr>
        <w:t>Villa-Forte, A. (</w:t>
      </w:r>
      <w:proofErr w:type="gramStart"/>
      <w:r>
        <w:rPr>
          <w:color w:val="000000"/>
          <w:szCs w:val="24"/>
        </w:rPr>
        <w:t>Abril</w:t>
      </w:r>
      <w:proofErr w:type="gramEnd"/>
      <w:r>
        <w:rPr>
          <w:color w:val="000000"/>
          <w:szCs w:val="24"/>
        </w:rPr>
        <w:t xml:space="preserve"> de 2022). </w:t>
      </w:r>
      <w:r>
        <w:rPr>
          <w:i/>
          <w:color w:val="000000"/>
          <w:szCs w:val="24"/>
        </w:rPr>
        <w:t>Manual MSD</w:t>
      </w:r>
      <w:r>
        <w:rPr>
          <w:color w:val="000000"/>
          <w:szCs w:val="24"/>
        </w:rPr>
        <w:t>. Obtenido de https://www.msdmanuals.com/es/hogar/fundamentos/el-cuerpo-humano/tejidos-y-%C3%B3rganos</w:t>
      </w:r>
    </w:p>
    <w:p w:rsidR="002B5EF8" w:rsidRDefault="00C66404">
      <w:pPr>
        <w:widowControl w:val="0"/>
      </w:pPr>
      <w:r>
        <w:t xml:space="preserve">Von Ehrenstein, O. S., Ling, C., Cui, X., Cockburn, M., Park, A. S., Yu, F., Wu, J., &amp; Ritz, B. (2019). Prenatal and infant exposure to ambient pesticides and autism spectrum disorder in children: Population based case-control study. </w:t>
      </w:r>
      <w:r>
        <w:rPr>
          <w:i/>
        </w:rPr>
        <w:t>The BMJ</w:t>
      </w:r>
      <w:r>
        <w:t xml:space="preserve">, </w:t>
      </w:r>
      <w:r>
        <w:rPr>
          <w:i/>
        </w:rPr>
        <w:t>364</w:t>
      </w:r>
      <w:r>
        <w:t>, 1–10. https://doi.org/10.1136/bmj.l962</w:t>
      </w:r>
    </w:p>
    <w:p w:rsidR="002B5EF8" w:rsidRDefault="002B5EF8"/>
    <w:p w:rsidR="002B5EF8" w:rsidRDefault="002B5EF8">
      <w:pPr>
        <w:widowControl w:val="0"/>
        <w:spacing w:line="360" w:lineRule="auto"/>
      </w:pPr>
    </w:p>
    <w:p w:rsidR="002B5EF8" w:rsidRDefault="002B5EF8">
      <w:pPr>
        <w:widowControl w:val="0"/>
        <w:spacing w:line="360" w:lineRule="auto"/>
      </w:pPr>
    </w:p>
    <w:p w:rsidR="002B5EF8" w:rsidRDefault="002B5EF8">
      <w:pPr>
        <w:pBdr>
          <w:top w:val="nil"/>
          <w:left w:val="nil"/>
          <w:bottom w:val="nil"/>
          <w:right w:val="nil"/>
          <w:between w:val="nil"/>
        </w:pBdr>
        <w:shd w:val="clear" w:color="auto" w:fill="FFFFFF"/>
        <w:ind w:left="709" w:hanging="709"/>
        <w:rPr>
          <w:color w:val="212121"/>
          <w:szCs w:val="24"/>
        </w:rPr>
      </w:pPr>
    </w:p>
    <w:p w:rsidR="002B5EF8" w:rsidRDefault="002B5EF8">
      <w:pPr>
        <w:pBdr>
          <w:top w:val="nil"/>
          <w:left w:val="nil"/>
          <w:bottom w:val="nil"/>
          <w:right w:val="nil"/>
          <w:between w:val="nil"/>
        </w:pBdr>
        <w:shd w:val="clear" w:color="auto" w:fill="FFFFFF"/>
        <w:rPr>
          <w:color w:val="212121"/>
          <w:szCs w:val="24"/>
        </w:rPr>
      </w:pPr>
    </w:p>
    <w:sectPr w:rsidR="002B5EF8">
      <w:pgSz w:w="11906" w:h="16838"/>
      <w:pgMar w:top="1388" w:right="1983" w:bottom="1701" w:left="1701" w:header="0" w:footer="85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472" w:rsidRDefault="00A77472">
      <w:pPr>
        <w:spacing w:before="0" w:after="0"/>
      </w:pPr>
      <w:r>
        <w:separator/>
      </w:r>
    </w:p>
  </w:endnote>
  <w:endnote w:type="continuationSeparator" w:id="0">
    <w:p w:rsidR="00A77472" w:rsidRDefault="00A774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re Frankli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472" w:rsidRDefault="00A77472">
      <w:pPr>
        <w:spacing w:before="0" w:after="0"/>
      </w:pPr>
      <w:r>
        <w:separator/>
      </w:r>
    </w:p>
  </w:footnote>
  <w:footnote w:type="continuationSeparator" w:id="0">
    <w:p w:rsidR="00A77472" w:rsidRDefault="00A77472">
      <w:pPr>
        <w:spacing w:before="0" w:after="0"/>
      </w:pPr>
      <w:r>
        <w:continuationSeparator/>
      </w:r>
    </w:p>
  </w:footnote>
  <w:footnote w:id="1">
    <w:p w:rsidR="00C66404" w:rsidRDefault="00C66404">
      <w:pPr>
        <w:pBdr>
          <w:top w:val="nil"/>
          <w:left w:val="nil"/>
          <w:bottom w:val="nil"/>
          <w:right w:val="nil"/>
          <w:between w:val="nil"/>
        </w:pBdr>
        <w:shd w:val="clear" w:color="auto" w:fill="FFFFFF"/>
        <w:rPr>
          <w:color w:val="000000"/>
          <w:sz w:val="20"/>
          <w:szCs w:val="20"/>
        </w:rPr>
      </w:pPr>
      <w:r>
        <w:rPr>
          <w:vertAlign w:val="superscript"/>
        </w:rPr>
        <w:footnoteRef/>
      </w:r>
      <w:r>
        <w:rPr>
          <w:color w:val="000000"/>
          <w:sz w:val="20"/>
          <w:szCs w:val="20"/>
        </w:rPr>
        <w:t xml:space="preserve"> Corresponding Author. </w:t>
      </w:r>
      <w:r>
        <w:rPr>
          <w:color w:val="212121"/>
          <w:sz w:val="20"/>
          <w:szCs w:val="20"/>
        </w:rPr>
        <w:t xml:space="preserve">Student Industrial Engineering, </w:t>
      </w:r>
      <w:r>
        <w:rPr>
          <w:color w:val="000000"/>
          <w:sz w:val="20"/>
          <w:szCs w:val="20"/>
        </w:rPr>
        <w:t xml:space="preserve">School of Industrial Engineering and Business, Universidad Industrial de Santander.  E-mail: </w:t>
      </w:r>
      <w:proofErr w:type="gramStart"/>
      <w:r>
        <w:rPr>
          <w:color w:val="000000"/>
          <w:sz w:val="20"/>
          <w:szCs w:val="20"/>
          <w:u w:val="single"/>
        </w:rPr>
        <w:t>jenifferva99@gmail.com</w:t>
      </w:r>
      <w:r>
        <w:rPr>
          <w:color w:val="4472C4"/>
          <w:sz w:val="20"/>
          <w:szCs w:val="20"/>
        </w:rPr>
        <w:t xml:space="preserve">  </w:t>
      </w:r>
      <w:r>
        <w:rPr>
          <w:color w:val="000000"/>
          <w:sz w:val="20"/>
          <w:szCs w:val="20"/>
        </w:rPr>
        <w:t>Address</w:t>
      </w:r>
      <w:proofErr w:type="gramEnd"/>
      <w:r>
        <w:rPr>
          <w:color w:val="000000"/>
          <w:sz w:val="20"/>
          <w:szCs w:val="20"/>
        </w:rPr>
        <w:t>: Calle 9 Carrera 27, Ciudad Universitaria, Edificio de Ingeniería Industrial, Bucaramanga, Colombia. Phone: +57 7 634 4000 Ext. 23223.</w:t>
      </w:r>
    </w:p>
  </w:footnote>
  <w:footnote w:id="2">
    <w:p w:rsidR="00C66404" w:rsidRDefault="00C66404">
      <w:pPr>
        <w:pBdr>
          <w:top w:val="nil"/>
          <w:left w:val="nil"/>
          <w:bottom w:val="nil"/>
          <w:right w:val="nil"/>
          <w:between w:val="nil"/>
        </w:pBdr>
        <w:shd w:val="clear" w:color="auto" w:fill="FFFFFF"/>
        <w:rPr>
          <w:color w:val="000000"/>
          <w:sz w:val="20"/>
          <w:szCs w:val="20"/>
        </w:rPr>
      </w:pPr>
      <w:r>
        <w:rPr>
          <w:vertAlign w:val="superscript"/>
        </w:rPr>
        <w:footnoteRef/>
      </w:r>
      <w:r>
        <w:rPr>
          <w:color w:val="000000"/>
          <w:sz w:val="20"/>
          <w:szCs w:val="20"/>
        </w:rPr>
        <w:t xml:space="preserve"> Corresponding Author. </w:t>
      </w:r>
      <w:r>
        <w:rPr>
          <w:color w:val="212121"/>
          <w:sz w:val="20"/>
          <w:szCs w:val="20"/>
        </w:rPr>
        <w:t xml:space="preserve">Student Industrial Engineering, </w:t>
      </w:r>
      <w:r>
        <w:rPr>
          <w:color w:val="000000"/>
          <w:sz w:val="20"/>
          <w:szCs w:val="20"/>
        </w:rPr>
        <w:t xml:space="preserve">School of Industrial Engineering and Business, Universidad Industrial de Santander.  E-mail: </w:t>
      </w:r>
      <w:r>
        <w:rPr>
          <w:color w:val="000000"/>
          <w:sz w:val="20"/>
          <w:szCs w:val="20"/>
          <w:u w:val="single"/>
        </w:rPr>
        <w:t>erikatgc912@gmail.com</w:t>
      </w:r>
      <w:r>
        <w:rPr>
          <w:color w:val="000000"/>
          <w:sz w:val="20"/>
          <w:szCs w:val="20"/>
        </w:rPr>
        <w:t xml:space="preserve"> Address: Calle 9 Carrera 27, Ciudad Universitaria, Edificio de Ingeniería Industrial, Bucaramanga, Colombia. Phone: +57 7 634 4000 Ext. 23223.</w:t>
      </w:r>
    </w:p>
  </w:footnote>
  <w:footnote w:id="3">
    <w:p w:rsidR="00C66404" w:rsidRDefault="00C66404">
      <w:pPr>
        <w:pBdr>
          <w:top w:val="nil"/>
          <w:left w:val="nil"/>
          <w:bottom w:val="nil"/>
          <w:right w:val="nil"/>
          <w:between w:val="nil"/>
        </w:pBdr>
        <w:spacing w:before="0" w:after="0"/>
        <w:rPr>
          <w:color w:val="000000"/>
          <w:sz w:val="20"/>
          <w:szCs w:val="20"/>
        </w:rPr>
      </w:pPr>
      <w:r>
        <w:rPr>
          <w:vertAlign w:val="superscript"/>
        </w:rPr>
        <w:footnoteRef/>
      </w:r>
      <w:r>
        <w:rPr>
          <w:color w:val="000000"/>
          <w:sz w:val="20"/>
          <w:szCs w:val="20"/>
        </w:rPr>
        <w:t xml:space="preserve"> Adjunct Professor, School of Industrial Engineering and Business, Universidad Industrial de Santander, Bucaramanga, Colombia. E-mail: jclesper@uis.edu.co</w:t>
      </w:r>
    </w:p>
  </w:footnote>
  <w:footnote w:id="4">
    <w:p w:rsidR="00C66404" w:rsidRDefault="00C66404">
      <w:pPr>
        <w:pBdr>
          <w:top w:val="nil"/>
          <w:left w:val="nil"/>
          <w:bottom w:val="nil"/>
          <w:right w:val="nil"/>
          <w:between w:val="nil"/>
        </w:pBdr>
        <w:spacing w:before="0" w:after="0" w:line="360" w:lineRule="auto"/>
        <w:rPr>
          <w:color w:val="000000"/>
          <w:sz w:val="20"/>
          <w:szCs w:val="20"/>
        </w:rPr>
      </w:pPr>
      <w:r>
        <w:rPr>
          <w:vertAlign w:val="superscript"/>
        </w:rPr>
        <w:footnoteRef/>
      </w:r>
      <w:r>
        <w:rPr>
          <w:color w:val="000000"/>
          <w:sz w:val="20"/>
          <w:szCs w:val="20"/>
        </w:rPr>
        <w:t xml:space="preserve"> “Elemento de Protección Personal, cualquier equipo o dispositivo destinado para ser utilizado o sujetado por el trabajador, para protegerlo de uno o varios riesgos y aumentar su seguridad o su salud en el trabajo” Ministerio de Agricultura</w:t>
      </w:r>
    </w:p>
  </w:footnote>
  <w:footnote w:id="5">
    <w:p w:rsidR="00C66404" w:rsidRDefault="00C66404">
      <w:pPr>
        <w:pBdr>
          <w:top w:val="nil"/>
          <w:left w:val="nil"/>
          <w:bottom w:val="nil"/>
          <w:right w:val="nil"/>
          <w:between w:val="nil"/>
        </w:pBdr>
        <w:spacing w:before="0" w:after="0"/>
        <w:rPr>
          <w:color w:val="000000"/>
          <w:sz w:val="20"/>
          <w:szCs w:val="20"/>
        </w:rPr>
      </w:pPr>
      <w:r>
        <w:rPr>
          <w:vertAlign w:val="superscript"/>
        </w:rPr>
        <w:footnoteRef/>
      </w:r>
      <w:r>
        <w:rPr>
          <w:color w:val="000000"/>
          <w:sz w:val="20"/>
          <w:szCs w:val="20"/>
        </w:rPr>
        <w:t xml:space="preserve"> Elementos de protección personal</w:t>
      </w:r>
    </w:p>
  </w:footnote>
  <w:footnote w:id="6">
    <w:p w:rsidR="00C66404" w:rsidRDefault="00C66404">
      <w:pPr>
        <w:pBdr>
          <w:top w:val="nil"/>
          <w:left w:val="nil"/>
          <w:bottom w:val="nil"/>
          <w:right w:val="nil"/>
          <w:between w:val="nil"/>
        </w:pBdr>
        <w:spacing w:before="0" w:after="0"/>
        <w:rPr>
          <w:color w:val="000000"/>
          <w:sz w:val="20"/>
          <w:szCs w:val="20"/>
        </w:rPr>
      </w:pPr>
      <w:r>
        <w:rPr>
          <w:vertAlign w:val="superscript"/>
        </w:rPr>
        <w:footnoteRef/>
      </w:r>
      <w:r>
        <w:rPr>
          <w:color w:val="000000"/>
          <w:sz w:val="20"/>
          <w:szCs w:val="20"/>
        </w:rPr>
        <w:t xml:space="preserve"> Enfermedad Renal Crónica de origen desconocido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25374"/>
    <w:multiLevelType w:val="multilevel"/>
    <w:tmpl w:val="C03C473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E746236"/>
    <w:multiLevelType w:val="multilevel"/>
    <w:tmpl w:val="FFF039B4"/>
    <w:lvl w:ilvl="0">
      <w:start w:val="3"/>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CF73AFD"/>
    <w:multiLevelType w:val="multilevel"/>
    <w:tmpl w:val="7A94F962"/>
    <w:lvl w:ilvl="0">
      <w:start w:val="1"/>
      <w:numFmt w:val="bullet"/>
      <w:pStyle w:val="normal2"/>
      <w:lvlText w:val="~"/>
      <w:lvlJc w:val="left"/>
      <w:pPr>
        <w:ind w:left="940" w:hanging="360"/>
      </w:pPr>
      <w:rPr>
        <w:rFonts w:ascii="Noto Sans Symbols" w:eastAsia="Noto Sans Symbols" w:hAnsi="Noto Sans Symbols" w:cs="Noto Sans Symbols"/>
      </w:rPr>
    </w:lvl>
    <w:lvl w:ilvl="1">
      <w:start w:val="1"/>
      <w:numFmt w:val="bullet"/>
      <w:lvlText w:val="o"/>
      <w:lvlJc w:val="left"/>
      <w:pPr>
        <w:ind w:left="1660" w:hanging="360"/>
      </w:pPr>
      <w:rPr>
        <w:rFonts w:ascii="Courier New" w:eastAsia="Courier New" w:hAnsi="Courier New" w:cs="Courier New"/>
      </w:rPr>
    </w:lvl>
    <w:lvl w:ilvl="2">
      <w:start w:val="1"/>
      <w:numFmt w:val="bullet"/>
      <w:lvlText w:val="▪"/>
      <w:lvlJc w:val="left"/>
      <w:pPr>
        <w:ind w:left="2380" w:hanging="360"/>
      </w:pPr>
      <w:rPr>
        <w:rFonts w:ascii="Noto Sans Symbols" w:eastAsia="Noto Sans Symbols" w:hAnsi="Noto Sans Symbols" w:cs="Noto Sans Symbols"/>
      </w:rPr>
    </w:lvl>
    <w:lvl w:ilvl="3">
      <w:start w:val="1"/>
      <w:numFmt w:val="bullet"/>
      <w:lvlText w:val="●"/>
      <w:lvlJc w:val="left"/>
      <w:pPr>
        <w:ind w:left="3100" w:hanging="360"/>
      </w:pPr>
      <w:rPr>
        <w:rFonts w:ascii="Noto Sans Symbols" w:eastAsia="Noto Sans Symbols" w:hAnsi="Noto Sans Symbols" w:cs="Noto Sans Symbols"/>
      </w:rPr>
    </w:lvl>
    <w:lvl w:ilvl="4">
      <w:start w:val="1"/>
      <w:numFmt w:val="bullet"/>
      <w:lvlText w:val="o"/>
      <w:lvlJc w:val="left"/>
      <w:pPr>
        <w:ind w:left="3820" w:hanging="360"/>
      </w:pPr>
      <w:rPr>
        <w:rFonts w:ascii="Courier New" w:eastAsia="Courier New" w:hAnsi="Courier New" w:cs="Courier New"/>
      </w:rPr>
    </w:lvl>
    <w:lvl w:ilvl="5">
      <w:start w:val="1"/>
      <w:numFmt w:val="bullet"/>
      <w:lvlText w:val="▪"/>
      <w:lvlJc w:val="left"/>
      <w:pPr>
        <w:ind w:left="4540" w:hanging="360"/>
      </w:pPr>
      <w:rPr>
        <w:rFonts w:ascii="Noto Sans Symbols" w:eastAsia="Noto Sans Symbols" w:hAnsi="Noto Sans Symbols" w:cs="Noto Sans Symbols"/>
      </w:rPr>
    </w:lvl>
    <w:lvl w:ilvl="6">
      <w:start w:val="1"/>
      <w:numFmt w:val="bullet"/>
      <w:lvlText w:val="●"/>
      <w:lvlJc w:val="left"/>
      <w:pPr>
        <w:ind w:left="5260" w:hanging="360"/>
      </w:pPr>
      <w:rPr>
        <w:rFonts w:ascii="Noto Sans Symbols" w:eastAsia="Noto Sans Symbols" w:hAnsi="Noto Sans Symbols" w:cs="Noto Sans Symbols"/>
      </w:rPr>
    </w:lvl>
    <w:lvl w:ilvl="7">
      <w:start w:val="1"/>
      <w:numFmt w:val="bullet"/>
      <w:lvlText w:val="o"/>
      <w:lvlJc w:val="left"/>
      <w:pPr>
        <w:ind w:left="5980" w:hanging="360"/>
      </w:pPr>
      <w:rPr>
        <w:rFonts w:ascii="Courier New" w:eastAsia="Courier New" w:hAnsi="Courier New" w:cs="Courier New"/>
      </w:rPr>
    </w:lvl>
    <w:lvl w:ilvl="8">
      <w:start w:val="1"/>
      <w:numFmt w:val="bullet"/>
      <w:lvlText w:val="▪"/>
      <w:lvlJc w:val="left"/>
      <w:pPr>
        <w:ind w:left="6700" w:hanging="360"/>
      </w:pPr>
      <w:rPr>
        <w:rFonts w:ascii="Noto Sans Symbols" w:eastAsia="Noto Sans Symbols" w:hAnsi="Noto Sans Symbols" w:cs="Noto Sans Symbols"/>
      </w:rPr>
    </w:lvl>
  </w:abstractNum>
  <w:abstractNum w:abstractNumId="3" w15:restartNumberingAfterBreak="0">
    <w:nsid w:val="6C0A0387"/>
    <w:multiLevelType w:val="multilevel"/>
    <w:tmpl w:val="DF3E05EC"/>
    <w:lvl w:ilvl="0">
      <w:start w:val="1"/>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70960A10"/>
    <w:multiLevelType w:val="multilevel"/>
    <w:tmpl w:val="71BCB774"/>
    <w:lvl w:ilvl="0">
      <w:start w:val="1"/>
      <w:numFmt w:val="bullet"/>
      <w:lvlText w:val="~"/>
      <w:lvlJc w:val="left"/>
      <w:pPr>
        <w:ind w:left="511" w:hanging="227"/>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EF8"/>
    <w:rsid w:val="00047C9F"/>
    <w:rsid w:val="001134ED"/>
    <w:rsid w:val="00260801"/>
    <w:rsid w:val="002B5EF8"/>
    <w:rsid w:val="00360CB3"/>
    <w:rsid w:val="00590D00"/>
    <w:rsid w:val="006533E2"/>
    <w:rsid w:val="0074723A"/>
    <w:rsid w:val="0093223A"/>
    <w:rsid w:val="00991A37"/>
    <w:rsid w:val="00A77472"/>
    <w:rsid w:val="00A854EC"/>
    <w:rsid w:val="00B27775"/>
    <w:rsid w:val="00C66404"/>
    <w:rsid w:val="00F46356"/>
    <w:rsid w:val="00F95C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C6E8E"/>
  <w15:docId w15:val="{7DB7DA9F-CFFB-4392-BC4D-EC35C60CD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CO" w:bidi="ar-SA"/>
      </w:rPr>
    </w:rPrDefault>
    <w:pPrDefault>
      <w:pPr>
        <w:spacing w:before="16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868"/>
    <w:rPr>
      <w:szCs w:val="22"/>
      <w:lang w:eastAsia="en-US" w:bidi="en-US"/>
    </w:rPr>
  </w:style>
  <w:style w:type="paragraph" w:styleId="Ttulo1">
    <w:name w:val="heading 1"/>
    <w:basedOn w:val="Normal"/>
    <w:next w:val="Normal"/>
    <w:link w:val="Ttulo1Car"/>
    <w:uiPriority w:val="9"/>
    <w:qFormat/>
    <w:rsid w:val="0079436E"/>
    <w:pPr>
      <w:keepNext/>
      <w:keepLines/>
      <w:pBdr>
        <w:bottom w:val="single" w:sz="12" w:space="1" w:color="auto"/>
      </w:pBdr>
      <w:tabs>
        <w:tab w:val="left" w:pos="8222"/>
      </w:tabs>
      <w:spacing w:before="480" w:after="0"/>
      <w:outlineLvl w:val="0"/>
    </w:pPr>
    <w:rPr>
      <w:b/>
      <w:bCs/>
      <w:color w:val="000000"/>
      <w:szCs w:val="28"/>
      <w:lang w:val="es-ES_tradnl"/>
    </w:rPr>
  </w:style>
  <w:style w:type="paragraph" w:styleId="Ttulo2">
    <w:name w:val="heading 2"/>
    <w:basedOn w:val="Normal"/>
    <w:next w:val="Normal"/>
    <w:link w:val="Ttulo2Car"/>
    <w:uiPriority w:val="9"/>
    <w:qFormat/>
    <w:rsid w:val="0079436E"/>
    <w:pPr>
      <w:keepNext/>
      <w:keepLines/>
      <w:spacing w:before="0" w:after="0"/>
      <w:outlineLvl w:val="1"/>
    </w:pPr>
    <w:rPr>
      <w:b/>
      <w:bCs/>
      <w:szCs w:val="32"/>
      <w:lang w:val="es-ES_tradnl"/>
    </w:rPr>
  </w:style>
  <w:style w:type="paragraph" w:styleId="Ttulo3">
    <w:name w:val="heading 3"/>
    <w:next w:val="Normal"/>
    <w:link w:val="Ttulo3Car"/>
    <w:uiPriority w:val="9"/>
    <w:qFormat/>
    <w:rsid w:val="005866F0"/>
    <w:pPr>
      <w:outlineLvl w:val="2"/>
    </w:pPr>
    <w:rPr>
      <w:b/>
      <w:bCs/>
      <w:lang w:val="es-ES_tradnl" w:eastAsia="en-US" w:bidi="en-US"/>
    </w:rPr>
  </w:style>
  <w:style w:type="paragraph" w:styleId="Ttulo4">
    <w:name w:val="heading 4"/>
    <w:next w:val="Normal"/>
    <w:link w:val="Ttulo4Car"/>
    <w:uiPriority w:val="9"/>
    <w:qFormat/>
    <w:rsid w:val="00C26EEC"/>
    <w:pPr>
      <w:outlineLvl w:val="3"/>
    </w:pPr>
    <w:rPr>
      <w:rFonts w:ascii="Calibri" w:hAnsi="Calibri"/>
      <w:b/>
      <w:bCs/>
      <w:lang w:val="es-ES_tradnl" w:eastAsia="en-US" w:bidi="en-US"/>
    </w:rPr>
  </w:style>
  <w:style w:type="paragraph" w:styleId="Ttulo5">
    <w:name w:val="heading 5"/>
    <w:basedOn w:val="Normal"/>
    <w:next w:val="Normal"/>
    <w:link w:val="Ttulo5Car"/>
    <w:uiPriority w:val="9"/>
    <w:qFormat/>
    <w:rsid w:val="00A4389F"/>
    <w:pPr>
      <w:keepNext/>
      <w:keepLines/>
      <w:spacing w:before="200" w:after="0"/>
      <w:outlineLvl w:val="4"/>
    </w:pPr>
    <w:rPr>
      <w:rFonts w:ascii="Franklin Gothic Book" w:hAnsi="Franklin Gothic Book"/>
      <w:color w:val="32515C"/>
      <w:sz w:val="20"/>
      <w:szCs w:val="20"/>
      <w:lang w:val="x-none" w:eastAsia="x-none" w:bidi="ar-SA"/>
    </w:rPr>
  </w:style>
  <w:style w:type="paragraph" w:styleId="Ttulo6">
    <w:name w:val="heading 6"/>
    <w:basedOn w:val="Normal"/>
    <w:next w:val="Normal"/>
    <w:link w:val="Ttulo6Car"/>
    <w:uiPriority w:val="9"/>
    <w:qFormat/>
    <w:rsid w:val="00A4389F"/>
    <w:pPr>
      <w:keepNext/>
      <w:keepLines/>
      <w:spacing w:before="200" w:after="0"/>
      <w:outlineLvl w:val="5"/>
    </w:pPr>
    <w:rPr>
      <w:rFonts w:ascii="Franklin Gothic Book" w:hAnsi="Franklin Gothic Book"/>
      <w:i/>
      <w:iCs/>
      <w:color w:val="32515C"/>
      <w:sz w:val="20"/>
      <w:szCs w:val="20"/>
      <w:lang w:val="x-none" w:eastAsia="x-none" w:bidi="ar-SA"/>
    </w:rPr>
  </w:style>
  <w:style w:type="paragraph" w:styleId="Ttulo7">
    <w:name w:val="heading 7"/>
    <w:basedOn w:val="Normal"/>
    <w:next w:val="Normal"/>
    <w:link w:val="Ttulo7Car"/>
    <w:uiPriority w:val="9"/>
    <w:qFormat/>
    <w:rsid w:val="00A4389F"/>
    <w:pPr>
      <w:keepNext/>
      <w:keepLines/>
      <w:spacing w:before="200" w:after="0"/>
      <w:outlineLvl w:val="6"/>
    </w:pPr>
    <w:rPr>
      <w:rFonts w:ascii="Franklin Gothic Book" w:hAnsi="Franklin Gothic Book"/>
      <w:i/>
      <w:iCs/>
      <w:color w:val="404040"/>
      <w:sz w:val="20"/>
      <w:szCs w:val="20"/>
      <w:lang w:val="x-none" w:eastAsia="x-none" w:bidi="ar-SA"/>
    </w:rPr>
  </w:style>
  <w:style w:type="paragraph" w:styleId="Ttulo8">
    <w:name w:val="heading 8"/>
    <w:basedOn w:val="Normal"/>
    <w:next w:val="Normal"/>
    <w:link w:val="Ttulo8Car"/>
    <w:uiPriority w:val="9"/>
    <w:qFormat/>
    <w:rsid w:val="00A4389F"/>
    <w:pPr>
      <w:keepNext/>
      <w:keepLines/>
      <w:spacing w:before="200" w:after="0"/>
      <w:outlineLvl w:val="7"/>
    </w:pPr>
    <w:rPr>
      <w:rFonts w:ascii="Franklin Gothic Book" w:hAnsi="Franklin Gothic Book"/>
      <w:color w:val="6EA0B0"/>
      <w:sz w:val="20"/>
      <w:szCs w:val="20"/>
      <w:lang w:val="x-none" w:eastAsia="x-none" w:bidi="ar-SA"/>
    </w:rPr>
  </w:style>
  <w:style w:type="paragraph" w:styleId="Ttulo9">
    <w:name w:val="heading 9"/>
    <w:basedOn w:val="Normal"/>
    <w:next w:val="Normal"/>
    <w:link w:val="Ttulo9Car"/>
    <w:uiPriority w:val="9"/>
    <w:qFormat/>
    <w:rsid w:val="00A4389F"/>
    <w:pPr>
      <w:keepNext/>
      <w:keepLines/>
      <w:spacing w:before="200" w:after="0"/>
      <w:outlineLvl w:val="8"/>
    </w:pPr>
    <w:rPr>
      <w:rFonts w:ascii="Franklin Gothic Book" w:hAnsi="Franklin Gothic Book"/>
      <w:i/>
      <w:iCs/>
      <w:color w:val="404040"/>
      <w:sz w:val="20"/>
      <w:szCs w:val="20"/>
      <w:lang w:val="x-none" w:eastAsia="x-none" w:bidi="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A4389F"/>
    <w:pPr>
      <w:pBdr>
        <w:bottom w:val="single" w:sz="8" w:space="4" w:color="6EA0B0"/>
      </w:pBdr>
      <w:spacing w:after="300"/>
      <w:contextualSpacing/>
    </w:pPr>
    <w:rPr>
      <w:rFonts w:ascii="Franklin Gothic Book" w:hAnsi="Franklin Gothic Book"/>
      <w:color w:val="2C2C2C"/>
      <w:spacing w:val="5"/>
      <w:kern w:val="28"/>
      <w:sz w:val="52"/>
      <w:szCs w:val="52"/>
      <w:lang w:val="x-none" w:eastAsia="x-none" w:bidi="ar-SA"/>
    </w:rPr>
  </w:style>
  <w:style w:type="character" w:customStyle="1" w:styleId="Ttulo1Car">
    <w:name w:val="Título 1 Car"/>
    <w:link w:val="Ttulo1"/>
    <w:uiPriority w:val="9"/>
    <w:rsid w:val="0079436E"/>
    <w:rPr>
      <w:rFonts w:ascii="Times New Roman" w:hAnsi="Times New Roman"/>
      <w:b/>
      <w:bCs/>
      <w:color w:val="000000"/>
      <w:sz w:val="24"/>
      <w:szCs w:val="28"/>
      <w:lang w:val="es-ES_tradnl" w:eastAsia="en-US" w:bidi="en-US"/>
    </w:rPr>
  </w:style>
  <w:style w:type="character" w:customStyle="1" w:styleId="Ttulo2Car">
    <w:name w:val="Título 2 Car"/>
    <w:link w:val="Ttulo2"/>
    <w:uiPriority w:val="9"/>
    <w:rsid w:val="0079436E"/>
    <w:rPr>
      <w:rFonts w:ascii="Times New Roman" w:hAnsi="Times New Roman"/>
      <w:b/>
      <w:bCs/>
      <w:sz w:val="24"/>
      <w:szCs w:val="32"/>
      <w:lang w:val="es-ES_tradnl" w:eastAsia="en-US" w:bidi="en-US"/>
    </w:rPr>
  </w:style>
  <w:style w:type="character" w:customStyle="1" w:styleId="Ttulo3Car">
    <w:name w:val="Título 3 Car"/>
    <w:link w:val="Ttulo3"/>
    <w:uiPriority w:val="9"/>
    <w:rsid w:val="005866F0"/>
    <w:rPr>
      <w:rFonts w:ascii="Times New Roman" w:hAnsi="Times New Roman"/>
      <w:b/>
      <w:bCs/>
      <w:sz w:val="24"/>
      <w:szCs w:val="24"/>
      <w:lang w:val="es-ES_tradnl" w:eastAsia="en-US" w:bidi="en-US"/>
    </w:rPr>
  </w:style>
  <w:style w:type="character" w:customStyle="1" w:styleId="Ttulo4Car">
    <w:name w:val="Título 4 Car"/>
    <w:link w:val="Ttulo4"/>
    <w:uiPriority w:val="9"/>
    <w:rsid w:val="00C26EEC"/>
    <w:rPr>
      <w:rFonts w:ascii="Calibri" w:hAnsi="Calibri"/>
      <w:b/>
      <w:bCs/>
      <w:lang w:eastAsia="en-US" w:bidi="en-US"/>
    </w:rPr>
  </w:style>
  <w:style w:type="character" w:customStyle="1" w:styleId="Ttulo5Car">
    <w:name w:val="Título 5 Car"/>
    <w:link w:val="Ttulo5"/>
    <w:uiPriority w:val="9"/>
    <w:rsid w:val="00A4389F"/>
    <w:rPr>
      <w:rFonts w:ascii="Franklin Gothic Book" w:eastAsia="Times New Roman" w:hAnsi="Franklin Gothic Book" w:cs="Times New Roman"/>
      <w:color w:val="32515C"/>
    </w:rPr>
  </w:style>
  <w:style w:type="character" w:customStyle="1" w:styleId="Ttulo6Car">
    <w:name w:val="Título 6 Car"/>
    <w:link w:val="Ttulo6"/>
    <w:uiPriority w:val="9"/>
    <w:rsid w:val="00A4389F"/>
    <w:rPr>
      <w:rFonts w:ascii="Franklin Gothic Book" w:eastAsia="Times New Roman" w:hAnsi="Franklin Gothic Book" w:cs="Times New Roman"/>
      <w:i/>
      <w:iCs/>
      <w:color w:val="32515C"/>
    </w:rPr>
  </w:style>
  <w:style w:type="paragraph" w:styleId="Descripcin">
    <w:name w:val="caption"/>
    <w:basedOn w:val="Normal"/>
    <w:next w:val="Normal"/>
    <w:uiPriority w:val="35"/>
    <w:qFormat/>
    <w:rsid w:val="00A4389F"/>
    <w:rPr>
      <w:b/>
      <w:bCs/>
      <w:color w:val="6EA0B0"/>
      <w:sz w:val="18"/>
      <w:szCs w:val="18"/>
    </w:rPr>
  </w:style>
  <w:style w:type="character" w:customStyle="1" w:styleId="TtuloCar">
    <w:name w:val="Título Car"/>
    <w:link w:val="Ttulo"/>
    <w:uiPriority w:val="10"/>
    <w:rsid w:val="00A4389F"/>
    <w:rPr>
      <w:rFonts w:ascii="Franklin Gothic Book" w:eastAsia="Times New Roman" w:hAnsi="Franklin Gothic Book" w:cs="Times New Roman"/>
      <w:color w:val="2C2C2C"/>
      <w:spacing w:val="5"/>
      <w:kern w:val="28"/>
      <w:sz w:val="52"/>
      <w:szCs w:val="52"/>
    </w:rPr>
  </w:style>
  <w:style w:type="character" w:styleId="Textoennegrita">
    <w:name w:val="Strong"/>
    <w:uiPriority w:val="22"/>
    <w:qFormat/>
    <w:rsid w:val="00A4389F"/>
    <w:rPr>
      <w:b/>
      <w:bCs/>
    </w:rPr>
  </w:style>
  <w:style w:type="paragraph" w:customStyle="1" w:styleId="Cuadrculamedia21">
    <w:name w:val="Cuadrícula media 21"/>
    <w:link w:val="Cuadrculamedia2Car"/>
    <w:uiPriority w:val="1"/>
    <w:qFormat/>
    <w:rsid w:val="00A4389F"/>
    <w:rPr>
      <w:sz w:val="22"/>
      <w:szCs w:val="22"/>
      <w:lang w:val="en-US" w:eastAsia="en-US" w:bidi="en-US"/>
    </w:rPr>
  </w:style>
  <w:style w:type="character" w:customStyle="1" w:styleId="Cuadrculamedia2Car">
    <w:name w:val="Cuadrícula media 2 Car"/>
    <w:link w:val="Cuadrculamedia21"/>
    <w:uiPriority w:val="1"/>
    <w:rsid w:val="00025AB9"/>
    <w:rPr>
      <w:sz w:val="22"/>
      <w:szCs w:val="22"/>
      <w:lang w:val="en-US" w:eastAsia="en-US" w:bidi="en-US"/>
    </w:rPr>
  </w:style>
  <w:style w:type="paragraph" w:customStyle="1" w:styleId="Listavistosa-nfasis11">
    <w:name w:val="Lista vistosa - Énfasis 11"/>
    <w:aliases w:val="punts,PUNTS"/>
    <w:basedOn w:val="Normal"/>
    <w:uiPriority w:val="34"/>
    <w:qFormat/>
    <w:rsid w:val="00A4389F"/>
    <w:pPr>
      <w:ind w:left="720"/>
      <w:contextualSpacing/>
    </w:pPr>
  </w:style>
  <w:style w:type="paragraph" w:customStyle="1" w:styleId="Tabladecuadrcula31">
    <w:name w:val="Tabla de cuadrícula 31"/>
    <w:basedOn w:val="Ttulo1"/>
    <w:next w:val="Normal"/>
    <w:uiPriority w:val="39"/>
    <w:unhideWhenUsed/>
    <w:qFormat/>
    <w:rsid w:val="00A4389F"/>
    <w:pPr>
      <w:outlineLvl w:val="9"/>
    </w:pPr>
  </w:style>
  <w:style w:type="paragraph" w:styleId="Textodeglobo">
    <w:name w:val="Balloon Text"/>
    <w:basedOn w:val="Normal"/>
    <w:link w:val="TextodegloboCar"/>
    <w:uiPriority w:val="99"/>
    <w:semiHidden/>
    <w:unhideWhenUsed/>
    <w:rsid w:val="000D5D56"/>
    <w:pPr>
      <w:spacing w:after="0"/>
    </w:pPr>
    <w:rPr>
      <w:rFonts w:ascii="Tahoma" w:hAnsi="Tahoma" w:cs="Tahoma"/>
      <w:sz w:val="16"/>
      <w:szCs w:val="16"/>
      <w:lang w:val="x-none"/>
    </w:rPr>
  </w:style>
  <w:style w:type="character" w:customStyle="1" w:styleId="TextodegloboCar">
    <w:name w:val="Texto de globo Car"/>
    <w:link w:val="Textodeglobo"/>
    <w:uiPriority w:val="99"/>
    <w:semiHidden/>
    <w:rsid w:val="000D5D56"/>
    <w:rPr>
      <w:rFonts w:ascii="Tahoma" w:eastAsia="Times New Roman" w:hAnsi="Tahoma" w:cs="Tahoma"/>
      <w:sz w:val="16"/>
      <w:szCs w:val="16"/>
      <w:lang w:eastAsia="en-US" w:bidi="en-US"/>
    </w:rPr>
  </w:style>
  <w:style w:type="paragraph" w:customStyle="1" w:styleId="normal2">
    <w:name w:val="normal 2"/>
    <w:basedOn w:val="Normal"/>
    <w:rsid w:val="000D5D56"/>
    <w:pPr>
      <w:numPr>
        <w:numId w:val="1"/>
      </w:numPr>
      <w:spacing w:before="100" w:beforeAutospacing="1" w:after="0"/>
    </w:pPr>
    <w:rPr>
      <w:szCs w:val="24"/>
      <w:lang w:val="es-ES_tradnl" w:eastAsia="es-ES_tradnl" w:bidi="ar-SA"/>
    </w:rPr>
  </w:style>
  <w:style w:type="character" w:customStyle="1" w:styleId="Ttulo7Car">
    <w:name w:val="Título 7 Car"/>
    <w:link w:val="Ttulo7"/>
    <w:uiPriority w:val="9"/>
    <w:rsid w:val="00A4389F"/>
    <w:rPr>
      <w:rFonts w:ascii="Franklin Gothic Book" w:eastAsia="Times New Roman" w:hAnsi="Franklin Gothic Book" w:cs="Times New Roman"/>
      <w:i/>
      <w:iCs/>
      <w:color w:val="404040"/>
    </w:rPr>
  </w:style>
  <w:style w:type="character" w:customStyle="1" w:styleId="Ttulo8Car">
    <w:name w:val="Título 8 Car"/>
    <w:link w:val="Ttulo8"/>
    <w:uiPriority w:val="9"/>
    <w:rsid w:val="00A4389F"/>
    <w:rPr>
      <w:rFonts w:ascii="Franklin Gothic Book" w:eastAsia="Times New Roman" w:hAnsi="Franklin Gothic Book" w:cs="Times New Roman"/>
      <w:color w:val="6EA0B0"/>
      <w:sz w:val="20"/>
      <w:szCs w:val="20"/>
    </w:rPr>
  </w:style>
  <w:style w:type="character" w:customStyle="1" w:styleId="Ttulo9Car">
    <w:name w:val="Título 9 Car"/>
    <w:link w:val="Ttulo9"/>
    <w:uiPriority w:val="9"/>
    <w:rsid w:val="00A4389F"/>
    <w:rPr>
      <w:rFonts w:ascii="Franklin Gothic Book" w:eastAsia="Times New Roman" w:hAnsi="Franklin Gothic Book" w:cs="Times New Roman"/>
      <w:i/>
      <w:iCs/>
      <w:color w:val="404040"/>
      <w:sz w:val="20"/>
      <w:szCs w:val="20"/>
    </w:rPr>
  </w:style>
  <w:style w:type="paragraph" w:styleId="Subttulo">
    <w:name w:val="Subtitle"/>
    <w:basedOn w:val="Normal"/>
    <w:next w:val="Normal"/>
    <w:link w:val="SubttuloCar"/>
    <w:rPr>
      <w:rFonts w:ascii="Libre Franklin" w:eastAsia="Libre Franklin" w:hAnsi="Libre Franklin" w:cs="Libre Franklin"/>
      <w:i/>
      <w:color w:val="6EA0B0"/>
    </w:rPr>
  </w:style>
  <w:style w:type="character" w:customStyle="1" w:styleId="SubttuloCar">
    <w:name w:val="Subtítulo Car"/>
    <w:link w:val="Subttulo"/>
    <w:uiPriority w:val="11"/>
    <w:rsid w:val="00A4389F"/>
    <w:rPr>
      <w:rFonts w:ascii="Franklin Gothic Book" w:eastAsia="Times New Roman" w:hAnsi="Franklin Gothic Book" w:cs="Times New Roman"/>
      <w:i/>
      <w:iCs/>
      <w:color w:val="6EA0B0"/>
      <w:spacing w:val="15"/>
      <w:sz w:val="24"/>
      <w:szCs w:val="24"/>
    </w:rPr>
  </w:style>
  <w:style w:type="character" w:styleId="nfasis">
    <w:name w:val="Emphasis"/>
    <w:uiPriority w:val="20"/>
    <w:qFormat/>
    <w:rsid w:val="00A4389F"/>
    <w:rPr>
      <w:i/>
      <w:iCs/>
    </w:rPr>
  </w:style>
  <w:style w:type="paragraph" w:customStyle="1" w:styleId="Cuadrculavistosa-nfasis11">
    <w:name w:val="Cuadrícula vistosa - Énfasis 11"/>
    <w:basedOn w:val="Normal"/>
    <w:next w:val="Normal"/>
    <w:link w:val="Cuadrculavistosa-nfasis1Car"/>
    <w:uiPriority w:val="29"/>
    <w:qFormat/>
    <w:rsid w:val="00A4389F"/>
    <w:rPr>
      <w:rFonts w:ascii="Arial" w:hAnsi="Arial"/>
      <w:i/>
      <w:iCs/>
      <w:color w:val="000000"/>
      <w:sz w:val="20"/>
      <w:szCs w:val="20"/>
      <w:lang w:val="x-none" w:eastAsia="x-none" w:bidi="ar-SA"/>
    </w:rPr>
  </w:style>
  <w:style w:type="character" w:customStyle="1" w:styleId="Cuadrculavistosa-nfasis1Car">
    <w:name w:val="Cuadrícula vistosa - Énfasis 1 Car"/>
    <w:link w:val="Cuadrculavistosa-nfasis11"/>
    <w:uiPriority w:val="29"/>
    <w:rsid w:val="00A4389F"/>
    <w:rPr>
      <w:i/>
      <w:iCs/>
      <w:color w:val="000000"/>
    </w:rPr>
  </w:style>
  <w:style w:type="paragraph" w:customStyle="1" w:styleId="Sombreadoclaro-nfasis21">
    <w:name w:val="Sombreado claro - Énfasis 21"/>
    <w:basedOn w:val="Normal"/>
    <w:next w:val="Normal"/>
    <w:link w:val="Sombreadoclaro-nfasis2Car"/>
    <w:uiPriority w:val="30"/>
    <w:qFormat/>
    <w:rsid w:val="00A4389F"/>
    <w:pPr>
      <w:pBdr>
        <w:bottom w:val="single" w:sz="4" w:space="4" w:color="6EA0B0"/>
      </w:pBdr>
      <w:spacing w:before="200" w:after="280"/>
      <w:ind w:left="936" w:right="936"/>
    </w:pPr>
    <w:rPr>
      <w:rFonts w:ascii="Arial" w:hAnsi="Arial"/>
      <w:b/>
      <w:bCs/>
      <w:i/>
      <w:iCs/>
      <w:color w:val="6EA0B0"/>
      <w:sz w:val="20"/>
      <w:szCs w:val="20"/>
      <w:lang w:val="x-none" w:eastAsia="x-none" w:bidi="ar-SA"/>
    </w:rPr>
  </w:style>
  <w:style w:type="character" w:customStyle="1" w:styleId="Sombreadoclaro-nfasis2Car">
    <w:name w:val="Sombreado claro - Énfasis 2 Car"/>
    <w:link w:val="Sombreadoclaro-nfasis21"/>
    <w:uiPriority w:val="30"/>
    <w:rsid w:val="00A4389F"/>
    <w:rPr>
      <w:b/>
      <w:bCs/>
      <w:i/>
      <w:iCs/>
      <w:color w:val="6EA0B0"/>
    </w:rPr>
  </w:style>
  <w:style w:type="character" w:customStyle="1" w:styleId="Tablanormal31">
    <w:name w:val="Tabla normal 31"/>
    <w:uiPriority w:val="19"/>
    <w:qFormat/>
    <w:rsid w:val="00A4389F"/>
    <w:rPr>
      <w:i/>
      <w:iCs/>
      <w:color w:val="808080"/>
    </w:rPr>
  </w:style>
  <w:style w:type="character" w:customStyle="1" w:styleId="Tablanormal41">
    <w:name w:val="Tabla normal 41"/>
    <w:uiPriority w:val="21"/>
    <w:qFormat/>
    <w:rsid w:val="00A4389F"/>
    <w:rPr>
      <w:b/>
      <w:bCs/>
      <w:i/>
      <w:iCs/>
      <w:color w:val="6EA0B0"/>
    </w:rPr>
  </w:style>
  <w:style w:type="character" w:customStyle="1" w:styleId="Tablanormal51">
    <w:name w:val="Tabla normal 51"/>
    <w:uiPriority w:val="31"/>
    <w:qFormat/>
    <w:rsid w:val="00A4389F"/>
    <w:rPr>
      <w:smallCaps/>
      <w:color w:val="CCAF0A"/>
      <w:u w:val="single"/>
    </w:rPr>
  </w:style>
  <w:style w:type="character" w:customStyle="1" w:styleId="Tablaconcuadrculaclara">
    <w:name w:val="Tabla con cuadrícula clara"/>
    <w:uiPriority w:val="32"/>
    <w:qFormat/>
    <w:rsid w:val="00A4389F"/>
    <w:rPr>
      <w:b/>
      <w:bCs/>
      <w:smallCaps/>
      <w:color w:val="CCAF0A"/>
      <w:spacing w:val="5"/>
      <w:u w:val="single"/>
    </w:rPr>
  </w:style>
  <w:style w:type="character" w:customStyle="1" w:styleId="Tablaconcuadrcula1clara">
    <w:name w:val="Tabla con cuadrícula 1 clara"/>
    <w:uiPriority w:val="33"/>
    <w:qFormat/>
    <w:rsid w:val="00A4389F"/>
    <w:rPr>
      <w:b/>
      <w:bCs/>
      <w:smallCaps/>
      <w:spacing w:val="5"/>
    </w:rPr>
  </w:style>
  <w:style w:type="paragraph" w:customStyle="1" w:styleId="ANGLES">
    <w:name w:val="ANGLES"/>
    <w:basedOn w:val="Normal"/>
    <w:link w:val="ANGLESCar"/>
    <w:qFormat/>
    <w:rsid w:val="00D244E5"/>
    <w:rPr>
      <w:rFonts w:ascii="Arial" w:hAnsi="Arial"/>
      <w:sz w:val="20"/>
      <w:szCs w:val="20"/>
      <w:lang w:val="x-none" w:eastAsia="x-none" w:bidi="ar-SA"/>
    </w:rPr>
  </w:style>
  <w:style w:type="character" w:customStyle="1" w:styleId="ANGLESCar">
    <w:name w:val="ANGLES Car"/>
    <w:link w:val="ANGLES"/>
    <w:rsid w:val="00D244E5"/>
    <w:rPr>
      <w:sz w:val="20"/>
    </w:rPr>
  </w:style>
  <w:style w:type="table" w:customStyle="1" w:styleId="Listaclara-nfasis12">
    <w:name w:val="Lista clara - Énfasis 12"/>
    <w:basedOn w:val="Tablanormal"/>
    <w:uiPriority w:val="61"/>
    <w:rsid w:val="00A36C41"/>
    <w:tblPr>
      <w:tblStyleRowBandSize w:val="1"/>
      <w:tblStyleColBandSize w:val="1"/>
      <w:tblBorders>
        <w:top w:val="single" w:sz="8" w:space="0" w:color="6EA0B0"/>
        <w:left w:val="single" w:sz="8" w:space="0" w:color="6EA0B0"/>
        <w:bottom w:val="single" w:sz="8" w:space="0" w:color="6EA0B0"/>
        <w:right w:val="single" w:sz="8" w:space="0" w:color="6EA0B0"/>
      </w:tblBorders>
    </w:tblPr>
    <w:tblStylePr w:type="firstRow">
      <w:pPr>
        <w:spacing w:before="0" w:after="0" w:line="240" w:lineRule="auto"/>
      </w:pPr>
      <w:rPr>
        <w:b/>
        <w:bCs/>
        <w:color w:val="FFFFFF"/>
      </w:rPr>
      <w:tblPr/>
      <w:tcPr>
        <w:shd w:val="clear" w:color="auto" w:fill="6EA0B0"/>
      </w:tcPr>
    </w:tblStylePr>
    <w:tblStylePr w:type="lastRow">
      <w:pPr>
        <w:spacing w:before="0" w:after="0" w:line="240" w:lineRule="auto"/>
      </w:pPr>
      <w:rPr>
        <w:b/>
        <w:bCs/>
      </w:rPr>
      <w:tblPr/>
      <w:tcPr>
        <w:tcBorders>
          <w:top w:val="double" w:sz="6" w:space="0" w:color="6EA0B0"/>
          <w:left w:val="single" w:sz="8" w:space="0" w:color="6EA0B0"/>
          <w:bottom w:val="single" w:sz="8" w:space="0" w:color="6EA0B0"/>
          <w:right w:val="single" w:sz="8" w:space="0" w:color="6EA0B0"/>
        </w:tcBorders>
      </w:tcPr>
    </w:tblStylePr>
    <w:tblStylePr w:type="firstCol">
      <w:rPr>
        <w:b/>
        <w:bCs/>
      </w:rPr>
    </w:tblStylePr>
    <w:tblStylePr w:type="lastCol">
      <w:rPr>
        <w:b/>
        <w:bCs/>
      </w:rPr>
    </w:tblStylePr>
    <w:tblStylePr w:type="band1Vert">
      <w:tblPr/>
      <w:tcPr>
        <w:tcBorders>
          <w:top w:val="single" w:sz="8" w:space="0" w:color="6EA0B0"/>
          <w:left w:val="single" w:sz="8" w:space="0" w:color="6EA0B0"/>
          <w:bottom w:val="single" w:sz="8" w:space="0" w:color="6EA0B0"/>
          <w:right w:val="single" w:sz="8" w:space="0" w:color="6EA0B0"/>
        </w:tcBorders>
      </w:tcPr>
    </w:tblStylePr>
    <w:tblStylePr w:type="band1Horz">
      <w:tblPr/>
      <w:tcPr>
        <w:tcBorders>
          <w:top w:val="single" w:sz="8" w:space="0" w:color="6EA0B0"/>
          <w:left w:val="single" w:sz="8" w:space="0" w:color="6EA0B0"/>
          <w:bottom w:val="single" w:sz="8" w:space="0" w:color="6EA0B0"/>
          <w:right w:val="single" w:sz="8" w:space="0" w:color="6EA0B0"/>
        </w:tcBorders>
      </w:tcPr>
    </w:tblStylePr>
  </w:style>
  <w:style w:type="paragraph" w:styleId="Encabezado">
    <w:name w:val="header"/>
    <w:basedOn w:val="Normal"/>
    <w:link w:val="EncabezadoCar"/>
    <w:uiPriority w:val="99"/>
    <w:unhideWhenUsed/>
    <w:rsid w:val="00AA0E59"/>
    <w:pPr>
      <w:tabs>
        <w:tab w:val="center" w:pos="4252"/>
        <w:tab w:val="right" w:pos="8504"/>
      </w:tabs>
      <w:spacing w:after="0"/>
    </w:pPr>
    <w:rPr>
      <w:rFonts w:ascii="Arial" w:hAnsi="Arial"/>
      <w:sz w:val="20"/>
      <w:szCs w:val="20"/>
      <w:lang w:eastAsia="x-none" w:bidi="ar-SA"/>
    </w:rPr>
  </w:style>
  <w:style w:type="character" w:customStyle="1" w:styleId="EncabezadoCar">
    <w:name w:val="Encabezado Car"/>
    <w:link w:val="Encabezado"/>
    <w:uiPriority w:val="99"/>
    <w:rsid w:val="00AA0E59"/>
    <w:rPr>
      <w:sz w:val="20"/>
      <w:lang w:val="es-ES"/>
    </w:rPr>
  </w:style>
  <w:style w:type="paragraph" w:styleId="Piedepgina">
    <w:name w:val="footer"/>
    <w:basedOn w:val="Normal"/>
    <w:link w:val="PiedepginaCar"/>
    <w:uiPriority w:val="99"/>
    <w:unhideWhenUsed/>
    <w:rsid w:val="00AA0E59"/>
    <w:pPr>
      <w:tabs>
        <w:tab w:val="center" w:pos="4252"/>
        <w:tab w:val="right" w:pos="8504"/>
      </w:tabs>
      <w:spacing w:after="0"/>
    </w:pPr>
    <w:rPr>
      <w:rFonts w:ascii="Arial" w:hAnsi="Arial"/>
      <w:sz w:val="20"/>
      <w:szCs w:val="20"/>
      <w:lang w:eastAsia="x-none" w:bidi="ar-SA"/>
    </w:rPr>
  </w:style>
  <w:style w:type="character" w:customStyle="1" w:styleId="PiedepginaCar">
    <w:name w:val="Pie de página Car"/>
    <w:link w:val="Piedepgina"/>
    <w:uiPriority w:val="99"/>
    <w:rsid w:val="00AA0E59"/>
    <w:rPr>
      <w:sz w:val="20"/>
      <w:lang w:val="es-ES"/>
    </w:rPr>
  </w:style>
  <w:style w:type="character" w:customStyle="1" w:styleId="gt-icon-text1">
    <w:name w:val="gt-icon-text1"/>
    <w:basedOn w:val="Fuentedeprrafopredeter"/>
    <w:rsid w:val="00540278"/>
  </w:style>
  <w:style w:type="character" w:styleId="Hipervnculo">
    <w:name w:val="Hyperlink"/>
    <w:uiPriority w:val="99"/>
    <w:unhideWhenUsed/>
    <w:rsid w:val="00D244E5"/>
    <w:rPr>
      <w:color w:val="00C8C3"/>
      <w:u w:val="single"/>
    </w:rPr>
  </w:style>
  <w:style w:type="table" w:customStyle="1" w:styleId="Sombreadoclaro-nfasis11">
    <w:name w:val="Sombreado claro - Énfasis 11"/>
    <w:basedOn w:val="Tablanormal"/>
    <w:uiPriority w:val="60"/>
    <w:rsid w:val="00A4389F"/>
    <w:rPr>
      <w:color w:val="4B7B8A"/>
    </w:rPr>
    <w:tblPr>
      <w:tblStyleRowBandSize w:val="1"/>
      <w:tblStyleColBandSize w:val="1"/>
      <w:tblBorders>
        <w:top w:val="single" w:sz="8" w:space="0" w:color="6EA0B0"/>
        <w:bottom w:val="single" w:sz="8" w:space="0" w:color="6EA0B0"/>
      </w:tblBorders>
    </w:tblPr>
    <w:tblStylePr w:type="firstRow">
      <w:pPr>
        <w:spacing w:before="0" w:after="0" w:line="240" w:lineRule="auto"/>
      </w:pPr>
      <w:rPr>
        <w:b/>
        <w:bCs/>
      </w:rPr>
      <w:tblPr/>
      <w:tcPr>
        <w:tcBorders>
          <w:top w:val="single" w:sz="8" w:space="0" w:color="6EA0B0"/>
          <w:left w:val="nil"/>
          <w:bottom w:val="single" w:sz="8" w:space="0" w:color="6EA0B0"/>
          <w:right w:val="nil"/>
          <w:insideH w:val="nil"/>
          <w:insideV w:val="nil"/>
        </w:tcBorders>
      </w:tcPr>
    </w:tblStylePr>
    <w:tblStylePr w:type="lastRow">
      <w:pPr>
        <w:spacing w:before="0" w:after="0" w:line="240" w:lineRule="auto"/>
      </w:pPr>
      <w:rPr>
        <w:b/>
        <w:bCs/>
      </w:rPr>
      <w:tblPr/>
      <w:tcPr>
        <w:tcBorders>
          <w:top w:val="single" w:sz="8" w:space="0" w:color="6EA0B0"/>
          <w:left w:val="nil"/>
          <w:bottom w:val="single" w:sz="8" w:space="0" w:color="6EA0B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7EB"/>
      </w:tcPr>
    </w:tblStylePr>
    <w:tblStylePr w:type="band1Horz">
      <w:tblPr/>
      <w:tcPr>
        <w:tcBorders>
          <w:left w:val="nil"/>
          <w:right w:val="nil"/>
          <w:insideH w:val="nil"/>
          <w:insideV w:val="nil"/>
        </w:tcBorders>
        <w:shd w:val="clear" w:color="auto" w:fill="DAE7EB"/>
      </w:tcPr>
    </w:tblStylePr>
  </w:style>
  <w:style w:type="paragraph" w:styleId="Textonotaalfinal">
    <w:name w:val="endnote text"/>
    <w:basedOn w:val="Normal"/>
    <w:link w:val="TextonotaalfinalCar"/>
    <w:uiPriority w:val="99"/>
    <w:semiHidden/>
    <w:unhideWhenUsed/>
    <w:rsid w:val="006455B5"/>
    <w:pPr>
      <w:spacing w:before="0" w:after="0"/>
    </w:pPr>
    <w:rPr>
      <w:rFonts w:eastAsia="Calibri"/>
      <w:sz w:val="20"/>
      <w:szCs w:val="20"/>
      <w:lang w:val="x-none" w:bidi="ar-SA"/>
    </w:rPr>
  </w:style>
  <w:style w:type="character" w:customStyle="1" w:styleId="TextonotaalfinalCar">
    <w:name w:val="Texto nota al final Car"/>
    <w:link w:val="Textonotaalfinal"/>
    <w:uiPriority w:val="99"/>
    <w:semiHidden/>
    <w:rsid w:val="006455B5"/>
    <w:rPr>
      <w:rFonts w:ascii="Calibri" w:eastAsia="Calibri" w:hAnsi="Calibri" w:cs="Times New Roman"/>
      <w:lang w:eastAsia="en-US"/>
    </w:rPr>
  </w:style>
  <w:style w:type="character" w:styleId="Refdenotaalfinal">
    <w:name w:val="endnote reference"/>
    <w:uiPriority w:val="99"/>
    <w:semiHidden/>
    <w:unhideWhenUsed/>
    <w:rsid w:val="006455B5"/>
    <w:rPr>
      <w:vertAlign w:val="superscript"/>
    </w:rPr>
  </w:style>
  <w:style w:type="table" w:styleId="Tablaconcuadrcula">
    <w:name w:val="Table Grid"/>
    <w:basedOn w:val="Tablanormal"/>
    <w:uiPriority w:val="39"/>
    <w:rsid w:val="008B294F"/>
    <w:rPr>
      <w:rFonts w:ascii="Calibri" w:eastAsia="Calibri" w:hAnsi="Calibri"/>
      <w:sz w:val="22"/>
      <w:szCs w:val="22"/>
      <w:lang w:val="es-ES_tradnl"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ombreadovistoso-nfasis11">
    <w:name w:val="Sombreado vistoso - Énfasis 11"/>
    <w:hidden/>
    <w:uiPriority w:val="99"/>
    <w:semiHidden/>
    <w:rsid w:val="00546593"/>
    <w:rPr>
      <w:rFonts w:ascii="Calibri" w:hAnsi="Calibri"/>
      <w:sz w:val="22"/>
      <w:szCs w:val="22"/>
      <w:lang w:val="es-ES" w:eastAsia="en-US" w:bidi="en-US"/>
    </w:rPr>
  </w:style>
  <w:style w:type="paragraph" w:styleId="Mapadeldocumento">
    <w:name w:val="Document Map"/>
    <w:basedOn w:val="Normal"/>
    <w:link w:val="MapadeldocumentoCar"/>
    <w:uiPriority w:val="99"/>
    <w:semiHidden/>
    <w:unhideWhenUsed/>
    <w:rsid w:val="00211B13"/>
    <w:pPr>
      <w:spacing w:before="0" w:after="0"/>
    </w:pPr>
    <w:rPr>
      <w:rFonts w:ascii="Tahoma" w:hAnsi="Tahoma" w:cs="Tahoma"/>
      <w:sz w:val="16"/>
      <w:szCs w:val="16"/>
      <w:lang w:val="x-none"/>
    </w:rPr>
  </w:style>
  <w:style w:type="character" w:customStyle="1" w:styleId="MapadeldocumentoCar">
    <w:name w:val="Mapa del documento Car"/>
    <w:link w:val="Mapadeldocumento"/>
    <w:uiPriority w:val="99"/>
    <w:semiHidden/>
    <w:rsid w:val="00211B13"/>
    <w:rPr>
      <w:rFonts w:ascii="Tahoma" w:hAnsi="Tahoma" w:cs="Tahoma"/>
      <w:sz w:val="16"/>
      <w:szCs w:val="16"/>
      <w:lang w:eastAsia="en-US" w:bidi="en-US"/>
    </w:rPr>
  </w:style>
  <w:style w:type="paragraph" w:styleId="Sangra3detindependiente">
    <w:name w:val="Body Text Indent 3"/>
    <w:basedOn w:val="Normal"/>
    <w:link w:val="Sangra3detindependienteCar"/>
    <w:rsid w:val="00C16421"/>
    <w:pPr>
      <w:spacing w:before="0" w:after="0"/>
      <w:ind w:left="1440"/>
    </w:pPr>
    <w:rPr>
      <w:i/>
      <w:iCs/>
      <w:sz w:val="20"/>
      <w:szCs w:val="24"/>
      <w:lang w:val="x-none" w:eastAsia="x-none" w:bidi="ar-SA"/>
    </w:rPr>
  </w:style>
  <w:style w:type="character" w:customStyle="1" w:styleId="Sangra3detindependienteCar">
    <w:name w:val="Sangría 3 de t. independiente Car"/>
    <w:link w:val="Sangra3detindependiente"/>
    <w:rsid w:val="00C16421"/>
    <w:rPr>
      <w:rFonts w:ascii="Times New Roman" w:hAnsi="Times New Roman"/>
      <w:i/>
      <w:iCs/>
      <w:szCs w:val="24"/>
    </w:rPr>
  </w:style>
  <w:style w:type="paragraph" w:styleId="Textoindependiente2">
    <w:name w:val="Body Text 2"/>
    <w:basedOn w:val="Normal"/>
    <w:link w:val="Textoindependiente2Car"/>
    <w:uiPriority w:val="99"/>
    <w:semiHidden/>
    <w:unhideWhenUsed/>
    <w:rsid w:val="00435AB1"/>
    <w:pPr>
      <w:spacing w:line="480" w:lineRule="auto"/>
    </w:pPr>
    <w:rPr>
      <w:lang w:val="x-none"/>
    </w:rPr>
  </w:style>
  <w:style w:type="character" w:customStyle="1" w:styleId="Textoindependiente2Car">
    <w:name w:val="Texto independiente 2 Car"/>
    <w:link w:val="Textoindependiente2"/>
    <w:uiPriority w:val="99"/>
    <w:semiHidden/>
    <w:rsid w:val="00435AB1"/>
    <w:rPr>
      <w:rFonts w:ascii="Calibri" w:hAnsi="Calibri"/>
      <w:sz w:val="22"/>
      <w:szCs w:val="22"/>
      <w:lang w:eastAsia="en-US" w:bidi="en-US"/>
    </w:rPr>
  </w:style>
  <w:style w:type="paragraph" w:styleId="Textonotapie">
    <w:name w:val="footnote text"/>
    <w:basedOn w:val="Normal"/>
    <w:link w:val="TextonotapieCar"/>
    <w:uiPriority w:val="99"/>
    <w:semiHidden/>
    <w:rsid w:val="00435AB1"/>
    <w:pPr>
      <w:spacing w:before="0" w:after="0"/>
    </w:pPr>
    <w:rPr>
      <w:sz w:val="20"/>
      <w:szCs w:val="20"/>
      <w:lang w:val="x-none" w:eastAsia="x-none" w:bidi="ar-SA"/>
    </w:rPr>
  </w:style>
  <w:style w:type="character" w:customStyle="1" w:styleId="TextonotapieCar">
    <w:name w:val="Texto nota pie Car"/>
    <w:link w:val="Textonotapie"/>
    <w:uiPriority w:val="99"/>
    <w:semiHidden/>
    <w:rsid w:val="00435AB1"/>
    <w:rPr>
      <w:rFonts w:ascii="Times New Roman" w:hAnsi="Times New Roman"/>
    </w:rPr>
  </w:style>
  <w:style w:type="character" w:styleId="Refdenotaalpie">
    <w:name w:val="footnote reference"/>
    <w:uiPriority w:val="99"/>
    <w:semiHidden/>
    <w:rsid w:val="00435AB1"/>
    <w:rPr>
      <w:vertAlign w:val="superscript"/>
    </w:rPr>
  </w:style>
  <w:style w:type="paragraph" w:styleId="Sangradetextonormal">
    <w:name w:val="Body Text Indent"/>
    <w:basedOn w:val="Normal"/>
    <w:link w:val="SangradetextonormalCar"/>
    <w:uiPriority w:val="99"/>
    <w:semiHidden/>
    <w:unhideWhenUsed/>
    <w:rsid w:val="00B301C6"/>
    <w:pPr>
      <w:ind w:left="283"/>
    </w:pPr>
    <w:rPr>
      <w:lang w:val="x-none"/>
    </w:rPr>
  </w:style>
  <w:style w:type="character" w:customStyle="1" w:styleId="SangradetextonormalCar">
    <w:name w:val="Sangría de texto normal Car"/>
    <w:link w:val="Sangradetextonormal"/>
    <w:uiPriority w:val="99"/>
    <w:semiHidden/>
    <w:rsid w:val="00B301C6"/>
    <w:rPr>
      <w:rFonts w:ascii="Calibri" w:hAnsi="Calibri"/>
      <w:sz w:val="22"/>
      <w:szCs w:val="22"/>
      <w:lang w:eastAsia="en-US" w:bidi="en-US"/>
    </w:rPr>
  </w:style>
  <w:style w:type="paragraph" w:styleId="Textoindependiente">
    <w:name w:val="Body Text"/>
    <w:basedOn w:val="Normal"/>
    <w:link w:val="TextoindependienteCar"/>
    <w:uiPriority w:val="99"/>
    <w:semiHidden/>
    <w:unhideWhenUsed/>
    <w:rsid w:val="00934A37"/>
    <w:rPr>
      <w:lang w:val="x-none"/>
    </w:rPr>
  </w:style>
  <w:style w:type="character" w:customStyle="1" w:styleId="TextoindependienteCar">
    <w:name w:val="Texto independiente Car"/>
    <w:link w:val="Textoindependiente"/>
    <w:uiPriority w:val="99"/>
    <w:semiHidden/>
    <w:rsid w:val="00934A37"/>
    <w:rPr>
      <w:rFonts w:ascii="Calibri" w:hAnsi="Calibri"/>
      <w:sz w:val="22"/>
      <w:szCs w:val="22"/>
      <w:lang w:eastAsia="en-US" w:bidi="en-US"/>
    </w:rPr>
  </w:style>
  <w:style w:type="paragraph" w:customStyle="1" w:styleId="Default">
    <w:name w:val="Default"/>
    <w:rsid w:val="00364486"/>
    <w:pPr>
      <w:autoSpaceDE w:val="0"/>
      <w:autoSpaceDN w:val="0"/>
      <w:adjustRightInd w:val="0"/>
    </w:pPr>
    <w:rPr>
      <w:rFonts w:cs="Arial"/>
      <w:color w:val="000000"/>
      <w:lang w:val="es-ES" w:eastAsia="es-ES"/>
    </w:rPr>
  </w:style>
  <w:style w:type="character" w:customStyle="1" w:styleId="hps">
    <w:name w:val="hps"/>
    <w:basedOn w:val="Fuentedeprrafopredeter"/>
    <w:rsid w:val="00772C8C"/>
  </w:style>
  <w:style w:type="character" w:styleId="Hipervnculovisitado">
    <w:name w:val="FollowedHyperlink"/>
    <w:uiPriority w:val="99"/>
    <w:semiHidden/>
    <w:unhideWhenUsed/>
    <w:rsid w:val="000C6A11"/>
    <w:rPr>
      <w:color w:val="954F72"/>
      <w:u w:val="single"/>
    </w:rPr>
  </w:style>
  <w:style w:type="paragraph" w:styleId="HTMLconformatoprevio">
    <w:name w:val="HTML Preformatted"/>
    <w:basedOn w:val="Normal"/>
    <w:link w:val="HTMLconformatoprevioCar"/>
    <w:uiPriority w:val="99"/>
    <w:unhideWhenUsed/>
    <w:rsid w:val="00C02E8C"/>
    <w:rPr>
      <w:rFonts w:ascii="Courier New" w:hAnsi="Courier New" w:cs="Courier New"/>
      <w:sz w:val="20"/>
      <w:szCs w:val="20"/>
    </w:rPr>
  </w:style>
  <w:style w:type="character" w:customStyle="1" w:styleId="HTMLconformatoprevioCar">
    <w:name w:val="HTML con formato previo Car"/>
    <w:link w:val="HTMLconformatoprevio"/>
    <w:uiPriority w:val="99"/>
    <w:rsid w:val="00C02E8C"/>
    <w:rPr>
      <w:rFonts w:ascii="Courier New" w:hAnsi="Courier New" w:cs="Courier New"/>
      <w:lang w:val="es-ES" w:eastAsia="en-US" w:bidi="en-US"/>
    </w:rPr>
  </w:style>
  <w:style w:type="paragraph" w:styleId="Prrafodelista">
    <w:name w:val="List Paragraph"/>
    <w:basedOn w:val="Normal"/>
    <w:link w:val="PrrafodelistaCar"/>
    <w:uiPriority w:val="34"/>
    <w:qFormat/>
    <w:rsid w:val="00A27AC9"/>
    <w:pPr>
      <w:spacing w:before="0" w:after="0"/>
      <w:ind w:left="720"/>
      <w:contextualSpacing/>
    </w:pPr>
    <w:rPr>
      <w:lang w:eastAsia="es-CO" w:bidi="ar-SA"/>
    </w:rPr>
  </w:style>
  <w:style w:type="table" w:styleId="Tablanormal1">
    <w:name w:val="Plain Table 1"/>
    <w:basedOn w:val="Tablanormal"/>
    <w:uiPriority w:val="41"/>
    <w:rsid w:val="00A27AC9"/>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A27AC9"/>
    <w:rPr>
      <w:rFonts w:ascii="Calibri" w:hAnsi="Calibr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PrrafodelistaCar">
    <w:name w:val="Párrafo de lista Car"/>
    <w:link w:val="Prrafodelista"/>
    <w:uiPriority w:val="34"/>
    <w:rsid w:val="00A27AC9"/>
    <w:rPr>
      <w:rFonts w:ascii="Calibri" w:hAnsi="Calibri"/>
      <w:sz w:val="22"/>
      <w:szCs w:val="22"/>
    </w:rPr>
  </w:style>
  <w:style w:type="table" w:styleId="Tablanormal4">
    <w:name w:val="Plain Table 4"/>
    <w:basedOn w:val="Tablanormal"/>
    <w:uiPriority w:val="44"/>
    <w:rsid w:val="00A27AC9"/>
    <w:rPr>
      <w:rFonts w:ascii="Calibri" w:hAnsi="Calibri"/>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A27AC9"/>
    <w:rPr>
      <w:rFonts w:ascii="Calibri" w:hAnsi="Calibri"/>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3">
    <w:name w:val="Plain Table 3"/>
    <w:basedOn w:val="Tablanormal"/>
    <w:uiPriority w:val="43"/>
    <w:rsid w:val="00A27AC9"/>
    <w:rPr>
      <w:rFonts w:ascii="Calibri" w:hAnsi="Calibri"/>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decuadrcula2-nfasis3">
    <w:name w:val="Grid Table 2 Accent 3"/>
    <w:basedOn w:val="Tablanormal"/>
    <w:uiPriority w:val="47"/>
    <w:rsid w:val="00A27AC9"/>
    <w:rPr>
      <w:rFonts w:ascii="Calibri" w:hAnsi="Calibri"/>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3-nfasis3">
    <w:name w:val="Grid Table 3 Accent 3"/>
    <w:basedOn w:val="Tablanormal"/>
    <w:uiPriority w:val="48"/>
    <w:rsid w:val="00A27AC9"/>
    <w:rPr>
      <w:rFonts w:ascii="Calibri" w:hAnsi="Calibri"/>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styleId="Refdecomentario">
    <w:name w:val="annotation reference"/>
    <w:basedOn w:val="Fuentedeprrafopredeter"/>
    <w:uiPriority w:val="99"/>
    <w:semiHidden/>
    <w:unhideWhenUsed/>
    <w:rsid w:val="00A27AC9"/>
    <w:rPr>
      <w:sz w:val="16"/>
      <w:szCs w:val="16"/>
    </w:rPr>
  </w:style>
  <w:style w:type="paragraph" w:styleId="Textocomentario">
    <w:name w:val="annotation text"/>
    <w:basedOn w:val="Normal"/>
    <w:link w:val="TextocomentarioCar"/>
    <w:uiPriority w:val="99"/>
    <w:semiHidden/>
    <w:unhideWhenUsed/>
    <w:rsid w:val="00A27AC9"/>
    <w:pPr>
      <w:spacing w:before="0" w:after="0"/>
    </w:pPr>
    <w:rPr>
      <w:sz w:val="20"/>
      <w:szCs w:val="20"/>
      <w:lang w:eastAsia="es-CO" w:bidi="ar-SA"/>
    </w:rPr>
  </w:style>
  <w:style w:type="character" w:customStyle="1" w:styleId="TextocomentarioCar">
    <w:name w:val="Texto comentario Car"/>
    <w:basedOn w:val="Fuentedeprrafopredeter"/>
    <w:link w:val="Textocomentario"/>
    <w:uiPriority w:val="99"/>
    <w:semiHidden/>
    <w:rsid w:val="00A27AC9"/>
    <w:rPr>
      <w:rFonts w:ascii="Calibri" w:hAnsi="Calibri"/>
    </w:rPr>
  </w:style>
  <w:style w:type="paragraph" w:styleId="Asuntodelcomentario">
    <w:name w:val="annotation subject"/>
    <w:basedOn w:val="Textocomentario"/>
    <w:next w:val="Textocomentario"/>
    <w:link w:val="AsuntodelcomentarioCar"/>
    <w:uiPriority w:val="99"/>
    <w:semiHidden/>
    <w:unhideWhenUsed/>
    <w:rsid w:val="00A27AC9"/>
    <w:rPr>
      <w:b/>
      <w:bCs/>
    </w:rPr>
  </w:style>
  <w:style w:type="character" w:customStyle="1" w:styleId="AsuntodelcomentarioCar">
    <w:name w:val="Asunto del comentario Car"/>
    <w:basedOn w:val="TextocomentarioCar"/>
    <w:link w:val="Asuntodelcomentario"/>
    <w:uiPriority w:val="99"/>
    <w:semiHidden/>
    <w:rsid w:val="00A27AC9"/>
    <w:rPr>
      <w:rFonts w:ascii="Calibri" w:hAnsi="Calibri"/>
      <w:b/>
      <w:bCs/>
    </w:rPr>
  </w:style>
  <w:style w:type="character" w:styleId="Textodelmarcadordeposicin">
    <w:name w:val="Placeholder Text"/>
    <w:basedOn w:val="Fuentedeprrafopredeter"/>
    <w:uiPriority w:val="99"/>
    <w:semiHidden/>
    <w:rsid w:val="00A27AC9"/>
    <w:rPr>
      <w:color w:val="808080"/>
    </w:rPr>
  </w:style>
  <w:style w:type="table" w:styleId="Tabladecuadrcula6concolores-nfasis3">
    <w:name w:val="Grid Table 6 Colorful Accent 3"/>
    <w:basedOn w:val="Tablanormal"/>
    <w:uiPriority w:val="51"/>
    <w:rsid w:val="00A27AC9"/>
    <w:rPr>
      <w:rFonts w:ascii="Calibri" w:hAnsi="Calibri"/>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Cuadrculadetablaclara">
    <w:name w:val="Grid Table Light"/>
    <w:basedOn w:val="Tablanormal"/>
    <w:uiPriority w:val="40"/>
    <w:rsid w:val="00A27AC9"/>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F809E1"/>
    <w:pPr>
      <w:spacing w:before="100" w:beforeAutospacing="1" w:after="100" w:afterAutospacing="1"/>
    </w:pPr>
    <w:rPr>
      <w:szCs w:val="24"/>
      <w:lang w:val="en-US" w:bidi="ar-SA"/>
    </w:rPr>
  </w:style>
  <w:style w:type="paragraph" w:customStyle="1" w:styleId="PARRAFOS">
    <w:name w:val="PARRAFOS"/>
    <w:basedOn w:val="Normal"/>
    <w:qFormat/>
    <w:rsid w:val="008179D5"/>
    <w:pPr>
      <w:spacing w:before="0" w:after="160" w:line="360" w:lineRule="auto"/>
      <w:ind w:firstLine="720"/>
    </w:pPr>
    <w:rPr>
      <w:rFonts w:eastAsiaTheme="minorHAnsi"/>
      <w:lang w:bidi="ar-SA"/>
    </w:rPr>
  </w:style>
  <w:style w:type="table" w:styleId="Tabladelista2">
    <w:name w:val="List Table 2"/>
    <w:basedOn w:val="Tablanormal"/>
    <w:uiPriority w:val="47"/>
    <w:rsid w:val="00D961D6"/>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21">
    <w:name w:val="Tabla de lista 21"/>
    <w:basedOn w:val="Tablanormal"/>
    <w:next w:val="Tabladelista2"/>
    <w:uiPriority w:val="47"/>
    <w:rsid w:val="00A52C2F"/>
    <w:rPr>
      <w:rFonts w:ascii="Calibri" w:eastAsia="Calibri" w:hAnsi="Calibri"/>
      <w:sz w:val="22"/>
      <w:szCs w:val="22"/>
      <w:lang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normal42">
    <w:name w:val="Tabla normal 42"/>
    <w:basedOn w:val="Tablanormal"/>
    <w:next w:val="Tablanormal4"/>
    <w:uiPriority w:val="44"/>
    <w:rsid w:val="00D25D83"/>
    <w:rPr>
      <w:rFonts w:ascii="Calibri" w:eastAsia="Calibri" w:hAnsi="Calibri"/>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43">
    <w:name w:val="Tabla normal 43"/>
    <w:basedOn w:val="Tablanormal"/>
    <w:next w:val="Tablanormal4"/>
    <w:uiPriority w:val="44"/>
    <w:rsid w:val="00492326"/>
    <w:rPr>
      <w:rFonts w:ascii="Calibri" w:eastAsia="Calibri" w:hAnsi="Calibri"/>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normaltextrun">
    <w:name w:val="normaltextrun"/>
    <w:rsid w:val="00044F51"/>
  </w:style>
  <w:style w:type="character" w:customStyle="1" w:styleId="eop">
    <w:name w:val="eop"/>
    <w:rsid w:val="00854B05"/>
  </w:style>
  <w:style w:type="paragraph" w:styleId="Bibliografa">
    <w:name w:val="Bibliography"/>
    <w:basedOn w:val="Normal"/>
    <w:next w:val="Normal"/>
    <w:uiPriority w:val="70"/>
    <w:rsid w:val="00BB51FB"/>
  </w:style>
  <w:style w:type="paragraph" w:styleId="Sinespaciado">
    <w:name w:val="No Spacing"/>
    <w:uiPriority w:val="99"/>
    <w:qFormat/>
    <w:rsid w:val="00AF5263"/>
    <w:rPr>
      <w:szCs w:val="22"/>
      <w:lang w:eastAsia="en-US" w:bidi="en-US"/>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rPr>
      <w:rFonts w:ascii="Calibri" w:eastAsia="Calibri" w:hAnsi="Calibri" w:cs="Calibri"/>
      <w:color w:val="7B7B7B"/>
      <w:sz w:val="22"/>
      <w:szCs w:val="22"/>
    </w:rPr>
    <w:tblPr>
      <w:tblStyleRowBandSize w:val="1"/>
      <w:tblStyleColBandSize w:val="1"/>
      <w:tblCellMar>
        <w:top w:w="0" w:type="dxa"/>
        <w:left w:w="108" w:type="dxa"/>
        <w:bottom w:w="0"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rPr>
      <w:rFonts w:ascii="Calibri" w:eastAsia="Calibri" w:hAnsi="Calibri" w:cs="Calibri"/>
      <w:color w:val="7B7B7B"/>
      <w:sz w:val="22"/>
      <w:szCs w:val="22"/>
    </w:rPr>
    <w:tblPr>
      <w:tblStyleRowBandSize w:val="1"/>
      <w:tblStyleColBandSize w:val="1"/>
      <w:tblCellMar>
        <w:top w:w="0" w:type="dxa"/>
        <w:left w:w="108" w:type="dxa"/>
        <w:bottom w:w="0"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648803">
      <w:bodyDiv w:val="1"/>
      <w:marLeft w:val="0"/>
      <w:marRight w:val="0"/>
      <w:marTop w:val="0"/>
      <w:marBottom w:val="0"/>
      <w:divBdr>
        <w:top w:val="none" w:sz="0" w:space="0" w:color="auto"/>
        <w:left w:val="none" w:sz="0" w:space="0" w:color="auto"/>
        <w:bottom w:val="none" w:sz="0" w:space="0" w:color="auto"/>
        <w:right w:val="none" w:sz="0" w:space="0" w:color="auto"/>
      </w:divBdr>
    </w:div>
    <w:div w:id="917861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doi.org/10.1080/03601234.2020.1777059" TargetMode="External"/><Relationship Id="rId18" Type="http://schemas.openxmlformats.org/officeDocument/2006/relationships/hyperlink" Target="https://doi.org/10.3390/ijerph1615273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cancer.gov/espanol/publicaciones/diccionarios/diccionario-cancer/def/nefrotoxico" TargetMode="External"/><Relationship Id="rId7" Type="http://schemas.openxmlformats.org/officeDocument/2006/relationships/endnotes" Target="endnotes.xml"/><Relationship Id="rId12" Type="http://schemas.openxmlformats.org/officeDocument/2006/relationships/hyperlink" Target="https://doi.org/10.1007/s10951-017-0554-9" TargetMode="External"/><Relationship Id="rId17" Type="http://schemas.openxmlformats.org/officeDocument/2006/relationships/hyperlink" Target="https://doi.org/10.1016/j.envint.2021.10687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10.1289/EHP7295" TargetMode="External"/><Relationship Id="rId20" Type="http://schemas.openxmlformats.org/officeDocument/2006/relationships/hyperlink" Target="http://www.ipe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doi.org/10.1111/1467-8551.00375" TargetMode="External"/><Relationship Id="rId5" Type="http://schemas.openxmlformats.org/officeDocument/2006/relationships/webSettings" Target="webSettings.xml"/><Relationship Id="rId15" Type="http://schemas.openxmlformats.org/officeDocument/2006/relationships/hyperlink" Target="https://medlineplus.gov/ency/article/007456.htm" TargetMode="External"/><Relationship Id="rId23" Type="http://schemas.openxmlformats.org/officeDocument/2006/relationships/hyperlink" Target="https://doi.org/10.1016/j.envres.2020.110186" TargetMode="External"/><Relationship Id="rId10" Type="http://schemas.openxmlformats.org/officeDocument/2006/relationships/image" Target="media/image1.png"/><Relationship Id="rId19" Type="http://schemas.openxmlformats.org/officeDocument/2006/relationships/hyperlink" Target="https://medlineplus.gov/spanish/ency/article/000468.htm"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www.mayoclinic.org/es-es/symptoms/shortness-of-breath/basics/definition/sym-20050890?reDate=12082022" TargetMode="External"/><Relationship Id="rId22" Type="http://schemas.openxmlformats.org/officeDocument/2006/relationships/hyperlink" Target="https://doi.org/10.4236/as.2015.61005"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USUARIO\Desktop\Trabajo%20de%20grado\Libro\LISTADO%20DE%20ART&#205;CULOS%20.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USUARIO\Desktop\Trabajo%20de%20grado\Libro\LISTADO%20DE%20ART&#205;CULOS%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Tablas!$B$1</c:f>
              <c:strCache>
                <c:ptCount val="1"/>
                <c:pt idx="0">
                  <c:v>Publicaciones</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Tablas!$A$2:$A$9</c:f>
              <c:numCache>
                <c:formatCode>General</c:formatCode>
                <c:ptCount val="8"/>
                <c:pt idx="0">
                  <c:v>2015</c:v>
                </c:pt>
                <c:pt idx="1">
                  <c:v>2016</c:v>
                </c:pt>
                <c:pt idx="2">
                  <c:v>2017</c:v>
                </c:pt>
                <c:pt idx="3">
                  <c:v>2018</c:v>
                </c:pt>
                <c:pt idx="4">
                  <c:v>2019</c:v>
                </c:pt>
                <c:pt idx="5">
                  <c:v>2020</c:v>
                </c:pt>
                <c:pt idx="6">
                  <c:v>2021</c:v>
                </c:pt>
                <c:pt idx="7">
                  <c:v>2022</c:v>
                </c:pt>
              </c:numCache>
            </c:numRef>
          </c:cat>
          <c:val>
            <c:numRef>
              <c:f>Tablas!$B$2:$B$9</c:f>
              <c:numCache>
                <c:formatCode>General</c:formatCode>
                <c:ptCount val="8"/>
                <c:pt idx="0">
                  <c:v>4</c:v>
                </c:pt>
                <c:pt idx="1">
                  <c:v>2</c:v>
                </c:pt>
                <c:pt idx="2">
                  <c:v>4</c:v>
                </c:pt>
                <c:pt idx="3">
                  <c:v>7</c:v>
                </c:pt>
                <c:pt idx="4">
                  <c:v>11</c:v>
                </c:pt>
                <c:pt idx="5">
                  <c:v>10</c:v>
                </c:pt>
                <c:pt idx="6">
                  <c:v>10</c:v>
                </c:pt>
                <c:pt idx="7">
                  <c:v>3</c:v>
                </c:pt>
              </c:numCache>
            </c:numRef>
          </c:val>
          <c:smooth val="0"/>
          <c:extLst>
            <c:ext xmlns:c16="http://schemas.microsoft.com/office/drawing/2014/chart" uri="{C3380CC4-5D6E-409C-BE32-E72D297353CC}">
              <c16:uniqueId val="{00000000-E702-4C5D-A9B0-3097895BB451}"/>
            </c:ext>
          </c:extLst>
        </c:ser>
        <c:dLbls>
          <c:showLegendKey val="0"/>
          <c:showVal val="0"/>
          <c:showCatName val="0"/>
          <c:showSerName val="0"/>
          <c:showPercent val="0"/>
          <c:showBubbleSize val="0"/>
        </c:dLbls>
        <c:marker val="1"/>
        <c:smooth val="0"/>
        <c:axId val="421368328"/>
        <c:axId val="421370952"/>
      </c:lineChart>
      <c:catAx>
        <c:axId val="421368328"/>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s-CO">
                    <a:solidFill>
                      <a:sysClr val="windowText" lastClr="000000"/>
                    </a:solidFill>
                    <a:latin typeface="Times New Roman" panose="02020603050405020304" pitchFamily="18" charset="0"/>
                    <a:cs typeface="Times New Roman" panose="02020603050405020304" pitchFamily="18" charset="0"/>
                  </a:rPr>
                  <a:t>Años</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421370952"/>
        <c:crosses val="autoZero"/>
        <c:auto val="1"/>
        <c:lblAlgn val="ctr"/>
        <c:lblOffset val="100"/>
        <c:noMultiLvlLbl val="0"/>
      </c:catAx>
      <c:valAx>
        <c:axId val="4213709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s-CO" b="0" i="0">
                    <a:solidFill>
                      <a:sysClr val="windowText" lastClr="000000"/>
                    </a:solidFill>
                    <a:latin typeface="Times New Roman" panose="02020603050405020304" pitchFamily="18" charset="0"/>
                    <a:cs typeface="Times New Roman" panose="02020603050405020304" pitchFamily="18" charset="0"/>
                  </a:rPr>
                  <a:t>Documentos</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4213683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Hoja4!$B$1</c:f>
              <c:strCache>
                <c:ptCount val="1"/>
                <c:pt idx="0">
                  <c:v>Publicaciones</c:v>
                </c:pt>
              </c:strCache>
            </c:strRef>
          </c:tx>
          <c:spPr>
            <a:solidFill>
              <a:schemeClr val="accent6"/>
            </a:solidFill>
            <a:ln>
              <a:noFill/>
            </a:ln>
            <a:effectLst/>
          </c:spPr>
          <c:invertIfNegative val="0"/>
          <c:cat>
            <c:strRef>
              <c:f>Hoja4!$A$2:$A$12</c:f>
              <c:strCache>
                <c:ptCount val="11"/>
                <c:pt idx="0">
                  <c:v>Gunatilake, S. </c:v>
                </c:pt>
                <c:pt idx="1">
                  <c:v>Hofmann, J.N. </c:v>
                </c:pt>
                <c:pt idx="2">
                  <c:v>Kromhout, H. </c:v>
                </c:pt>
                <c:pt idx="3">
                  <c:v>Seneff, S. </c:v>
                </c:pt>
                <c:pt idx="4">
                  <c:v>Shrestha, S. </c:v>
                </c:pt>
                <c:pt idx="5">
                  <c:v>Siribaddana, S.</c:v>
                </c:pt>
                <c:pt idx="6">
                  <c:v>Umbach, D.M.</c:v>
                </c:pt>
                <c:pt idx="7">
                  <c:v>Blair, A. </c:v>
                </c:pt>
                <c:pt idx="8">
                  <c:v>Sandler, D.P. </c:v>
                </c:pt>
                <c:pt idx="9">
                  <c:v>Koutros, S. </c:v>
                </c:pt>
                <c:pt idx="10">
                  <c:v>Beane Freeman, L.E. </c:v>
                </c:pt>
              </c:strCache>
            </c:strRef>
          </c:cat>
          <c:val>
            <c:numRef>
              <c:f>Hoja4!$B$2:$B$12</c:f>
              <c:numCache>
                <c:formatCode>General</c:formatCode>
                <c:ptCount val="11"/>
                <c:pt idx="0">
                  <c:v>3</c:v>
                </c:pt>
                <c:pt idx="1">
                  <c:v>3</c:v>
                </c:pt>
                <c:pt idx="2">
                  <c:v>3</c:v>
                </c:pt>
                <c:pt idx="3">
                  <c:v>3</c:v>
                </c:pt>
                <c:pt idx="4">
                  <c:v>3</c:v>
                </c:pt>
                <c:pt idx="5">
                  <c:v>3</c:v>
                </c:pt>
                <c:pt idx="6">
                  <c:v>3</c:v>
                </c:pt>
                <c:pt idx="7">
                  <c:v>4</c:v>
                </c:pt>
                <c:pt idx="8">
                  <c:v>4</c:v>
                </c:pt>
                <c:pt idx="9">
                  <c:v>4</c:v>
                </c:pt>
                <c:pt idx="10">
                  <c:v>6</c:v>
                </c:pt>
              </c:numCache>
            </c:numRef>
          </c:val>
          <c:extLst>
            <c:ext xmlns:c16="http://schemas.microsoft.com/office/drawing/2014/chart" uri="{C3380CC4-5D6E-409C-BE32-E72D297353CC}">
              <c16:uniqueId val="{00000000-25C6-44DF-A62B-7D14C4F08814}"/>
            </c:ext>
          </c:extLst>
        </c:ser>
        <c:dLbls>
          <c:showLegendKey val="0"/>
          <c:showVal val="0"/>
          <c:showCatName val="0"/>
          <c:showSerName val="0"/>
          <c:showPercent val="0"/>
          <c:showBubbleSize val="0"/>
        </c:dLbls>
        <c:gapWidth val="182"/>
        <c:axId val="377743848"/>
        <c:axId val="377742864"/>
      </c:barChart>
      <c:catAx>
        <c:axId val="3777438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377742864"/>
        <c:crosses val="autoZero"/>
        <c:auto val="1"/>
        <c:lblAlgn val="ctr"/>
        <c:lblOffset val="100"/>
        <c:noMultiLvlLbl val="0"/>
      </c:catAx>
      <c:valAx>
        <c:axId val="3777428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3777438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O9OY3pV5W1h+8FMgfm11x342mA==">AMUW2mVoxZylINqLFH20iRcLFV1p8FLvr1SZFiVVv4M7mn+8GQM/VK9z2boFQ/HetIoLc1/ZZVHF3z6wT9gzoilgLIg6dSz+Jpa6MpWRzhzr3/cSbix2AC7iBd66WYV/eQOvcz5T79jqfRc33SEEY94Expww9APDMwMKi1W2VYA5BdNkZlEzk4rs/bM02Sa21/lfReCo9L7w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28</Pages>
  <Words>10175</Words>
  <Characters>55967</Characters>
  <Application>Microsoft Office Word</Application>
  <DocSecurity>0</DocSecurity>
  <Lines>466</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climent</dc:creator>
  <cp:lastModifiedBy>ERIKA GALVIS</cp:lastModifiedBy>
  <cp:revision>13</cp:revision>
  <dcterms:created xsi:type="dcterms:W3CDTF">2021-04-20T19:58:00Z</dcterms:created>
  <dcterms:modified xsi:type="dcterms:W3CDTF">2022-10-26T00:45:00Z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8649db60-0f9c-32f4-8c29-0aa763672e04</vt:lpwstr>
  </property>
  <property fmtid="{D5CDD505-2E9C-101B-9397-08002B2CF9AE}" pid="24" name="Mendeley Citation Style_1">
    <vt:lpwstr>http://www.zotero.org/styles/apa</vt:lpwstr>
  </property>
  <property fmtid="{D5CDD505-2E9C-101B-9397-08002B2CF9AE}" pid="25" name="ContentTypeId">
    <vt:lpwstr>0x0101001918FD5A61FD824AA420F0EC1A8E412C</vt:lpwstr>
  </property>
</Properties>
</file>